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(26-29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reste en 3.6.0-beta.9.</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r>
        <w:tc>
          <w:tcPr>
            <w:tcW w:type="dxa" w:w="2041"/>
          </w:tcPr>
          <w:p>
            <w:r/>
            <w:r>
              <w:rPr>
                <w:b w:val="0"/>
                <w:sz w:val="19"/>
              </w:rPr>
              <w:t>Part de la mission (27/10)</w:t>
            </w:r>
          </w:p>
        </w:tc>
        <w:tc>
          <w:tcPr>
            <w:tcW w:type="dxa" w:w="6009"/>
          </w:tcPr>
          <w:p>
            <w:r/>
            <w:r>
              <w:rPr>
                <w:b w:val="0"/>
                <w:sz w:val="19"/>
              </w:rPr>
              <w:t>Mission::partAvanceReelle (Σ avances / Σ montants des OM, hors rejetés, annulés et amendés à avance engagée), exposée en part_avance (état, récapitulatif, aperçu d'un lot) : l'écran de l'état et le choix de la tranche affichent la part des OM, pas le réglage du jour. Chaîne des montants vérifiée à 55 %.</w:t>
            </w:r>
          </w:p>
        </w:tc>
        <w:tc>
          <w:tcPr>
            <w:tcW w:type="dxa" w:w="1474"/>
          </w:tcPr>
          <w:p>
            <w:r/>
            <w:r>
              <w:rPr>
                <w:b w:val="0"/>
                <w:sz w:val="19"/>
              </w:rPr>
              <w:t>§5</w:t>
            </w:r>
          </w:p>
        </w:tc>
      </w:tr>
      <w:tr>
        <w:tc>
          <w:tcPr>
            <w:tcW w:type="dxa" w:w="2041"/>
          </w:tcPr>
          <w:p>
            <w:r/>
            <w:r>
              <w:rPr>
                <w:b w:val="0"/>
                <w:sz w:val="19"/>
              </w:rPr>
              <w:t>Réglages de Paramètres (28/10)</w:t>
            </w:r>
          </w:p>
        </w:tc>
        <w:tc>
          <w:tcPr>
            <w:tcW w:type="dxa" w:w="6009"/>
          </w:tcPr>
          <w:p>
            <w:r/>
            <w:r>
              <w:rPr>
                <w:b w:val="0"/>
                <w:sz w:val="19"/>
              </w:rPr>
              <w:t>Appliqués par le serveur (App\Support\Parametres, cache 60 s, absents = comportement d'avant, 422 hors domaine) : opérateurs MTN / Moov (génération refusée), tentatives de connexion (limiteur login), durée de session (callback Sanctum, remplace SANCTUM_EXPIRATION), HTTPS forcé (middleware ForcerHttps), connexions échouées journalisées (LOGIN_ECHEC), mode maintenance (middleware MaintenanceApplication : 503 sauf SUPER_ADMIN), notifications par type, nom de l'application (route publique GET /admin/parametres/application, titre de l'onglet, objet des e-mails).</w:t>
            </w:r>
          </w:p>
        </w:tc>
        <w:tc>
          <w:tcPr>
            <w:tcW w:type="dxa" w:w="1474"/>
          </w:tcPr>
          <w:p>
            <w:r/>
            <w:r>
              <w:rPr>
                <w:b w:val="0"/>
                <w:sz w:val="19"/>
              </w:rPr>
              <w:t>§6, §7</w:t>
            </w:r>
          </w:p>
        </w:tc>
      </w:tr>
      <w:tr>
        <w:tc>
          <w:tcPr>
            <w:tcW w:type="dxa" w:w="2041"/>
          </w:tcPr>
          <w:p>
            <w:r/>
            <w:r>
              <w:rPr>
                <w:b w:val="0"/>
                <w:sz w:val="19"/>
              </w:rPr>
              <w:t>Contrat d'API (28/10)</w:t>
            </w:r>
          </w:p>
        </w:tc>
        <w:tc>
          <w:tcPr>
            <w:tcW w:type="dxa" w:w="6009"/>
          </w:tcPr>
          <w:p>
            <w:r/>
            <w:r>
              <w:rPr>
                <w:b w:val="0"/>
                <w:sz w:val="19"/>
              </w:rPr>
              <w:t>OpenApiReponsesTest : réponses réelles d'une trentaine de routes validées contre openapi.yaml en mode strict (validateur tests/Support/OpenApiSchema.php, sans dépendance) ; openapi.yaml complété (pagination, régularisations, LignePerDiem, Signataire, enveloppe message).</w:t>
            </w:r>
          </w:p>
        </w:tc>
        <w:tc>
          <w:tcPr>
            <w:tcW w:type="dxa" w:w="1474"/>
          </w:tcPr>
          <w:p>
            <w:r/>
            <w:r>
              <w:rPr>
                <w:b w:val="0"/>
                <w:sz w:val="19"/>
              </w:rPr>
              <w:t>§7, §10</w:t>
            </w:r>
          </w:p>
        </w:tc>
      </w:tr>
      <w:tr>
        <w:tc>
          <w:tcPr>
            <w:tcW w:type="dxa" w:w="2041"/>
          </w:tcPr>
          <w:p>
            <w:r/>
            <w:r>
              <w:rPr>
                <w:b w:val="0"/>
                <w:sz w:val="19"/>
              </w:rPr>
              <w:t>Tests (28/10)</w:t>
            </w:r>
          </w:p>
        </w:tc>
        <w:tc>
          <w:tcPr>
            <w:tcW w:type="dxa" w:w="6009"/>
          </w:tcPr>
          <w:p>
            <w:r/>
            <w:r>
              <w:rPr>
                <w:b w:val="0"/>
                <w:sz w:val="19"/>
              </w:rPr>
              <w:t>45 tests des écrans critiques (saisie de mission, état, signatures, matrice des permissions) ; agent en double signalé dès la saisie ; message français sur un 429. Pest 652, Vitest 194.</w:t>
            </w:r>
          </w:p>
        </w:tc>
        <w:tc>
          <w:tcPr>
            <w:tcW w:type="dxa" w:w="1474"/>
          </w:tcPr>
          <w:p>
            <w:r/>
            <w:r>
              <w:rPr>
                <w:b w:val="0"/>
                <w:sz w:val="19"/>
              </w:rPr>
              <w:t>§10</w:t>
            </w:r>
          </w:p>
        </w:tc>
      </w:tr>
      <w:tr>
        <w:tc>
          <w:tcPr>
            <w:tcW w:type="dxa" w:w="2041"/>
          </w:tcPr>
          <w:p>
            <w:r/>
            <w:r>
              <w:rPr>
                <w:b w:val="0"/>
                <w:sz w:val="19"/>
              </w:rPr>
              <w:t>Messagerie (28/10)</w:t>
            </w:r>
          </w:p>
        </w:tc>
        <w:tc>
          <w:tcPr>
            <w:tcW w:type="dxa" w:w="6009"/>
          </w:tcPr>
          <w:p>
            <w:r/>
            <w:r>
              <w:rPr>
                <w:b w:val="0"/>
                <w:sz w:val="19"/>
              </w:rPr>
              <w:t>Configuration SMTP de l'écran Messagerie appliquée à l'envoi (App\Support\Messagerie) : serveur renseigné → remplace le transport du .env, expéditeur renseigné → remplace MAIL_FROM_* ; e-mail de test POST /admin/settings/test-email (422 si l'envoi échoue). Pest 670, Vitest 197.</w:t>
            </w:r>
          </w:p>
        </w:tc>
        <w:tc>
          <w:tcPr>
            <w:tcW w:type="dxa" w:w="1474"/>
          </w:tcPr>
          <w:p>
            <w:r/>
            <w:r>
              <w:rPr>
                <w:b w:val="0"/>
                <w:sz w:val="19"/>
              </w:rPr>
              <w:t>§6, §7</w:t>
            </w:r>
          </w:p>
        </w:tc>
      </w:tr>
      <w:tr>
        <w:tc>
          <w:tcPr>
            <w:tcW w:type="dxa" w:w="2041"/>
          </w:tcPr>
          <w:p>
            <w:r/>
            <w:r>
              <w:rPr>
                <w:b w:val="0"/>
                <w:sz w:val="19"/>
              </w:rPr>
              <w:t>Session (28/10)</w:t>
            </w:r>
          </w:p>
        </w:tc>
        <w:tc>
          <w:tcPr>
            <w:tcW w:type="dxa" w:w="6009"/>
          </w:tcPr>
          <w:p>
            <w:r/>
            <w:r>
              <w:rPr>
                <w:b w:val="0"/>
                <w:sz w:val="19"/>
              </w:rPr>
              <w:t>Une erreur passagère de l'API au rechargement (429, 5xx, réseau) ne déconnecte plus : le jeton est gardé et l'écran d'erreur revient à la page demandée ; seul un 401 met fin à la session. Vitest 205.</w:t>
            </w:r>
          </w:p>
        </w:tc>
        <w:tc>
          <w:tcPr>
            <w:tcW w:type="dxa" w:w="1474"/>
          </w:tcPr>
          <w:p>
            <w:r/>
            <w:r>
              <w:rPr>
                <w:b w:val="0"/>
                <w:sz w:val="19"/>
              </w:rPr>
              <w:t>§6</w:t>
            </w:r>
          </w:p>
        </w:tc>
      </w:tr>
      <w:tr>
        <w:tc>
          <w:tcPr>
            <w:tcW w:type="dxa" w:w="2041"/>
          </w:tcPr>
          <w:p>
            <w:r/>
            <w:r>
              <w:rPr>
                <w:b w:val="0"/>
                <w:sz w:val="19"/>
              </w:rPr>
              <w:t>E-mail en échec (28/10)</w:t>
            </w:r>
          </w:p>
        </w:tc>
        <w:tc>
          <w:tcPr>
            <w:tcW w:type="dxa" w:w="6009"/>
          </w:tcPr>
          <w:p>
            <w:r/>
            <w:r>
              <w:rPr>
                <w:b w:val="0"/>
                <w:sz w:val="19"/>
              </w:rPr>
              <w:t>Un e-mail de notification qui ne part pas (serveur SMTP injoignable) n'est plus relancé par SendNotification : en file sync, la signature ou la validation qui notifie répondait 500 alors que l'opération était enregistrée, et les destinataires suivants n'étaient pas notifiés. Pest 671.</w:t>
            </w:r>
          </w:p>
        </w:tc>
        <w:tc>
          <w:tcPr>
            <w:tcW w:type="dxa" w:w="1474"/>
          </w:tcPr>
          <w:p>
            <w:r/>
            <w:r>
              <w:rPr>
                <w:b w:val="0"/>
                <w:sz w:val="19"/>
              </w:rPr>
              <w:t>§4.2</w:t>
            </w:r>
          </w:p>
        </w:tc>
      </w:tr>
      <w:tr>
        <w:tc>
          <w:tcPr>
            <w:tcW w:type="dxa" w:w="2041"/>
          </w:tcPr>
          <w:p>
            <w:r/>
            <w:r>
              <w:rPr>
                <w:b w:val="0"/>
                <w:sz w:val="19"/>
              </w:rPr>
              <w:t>Messagerie, refus (28/10)</w:t>
            </w:r>
          </w:p>
        </w:tc>
        <w:tc>
          <w:tcPr>
            <w:tcW w:type="dxa" w:w="6009"/>
          </w:tcPr>
          <w:p>
            <w:r/>
            <w:r>
              <w:rPr>
                <w:b w:val="0"/>
                <w:sz w:val="19"/>
              </w:rPr>
              <w:t>L'écran Messagerie affiche le motif d'un refus 422 (champ errors : port invalide, message du serveur SMTP) et non plus le message générique « Donnees invalides. ». Scénario de démo complété (§8.6 messagerie, §8.7 maintenance), rejoué sur l'API réelle.</w:t>
            </w:r>
          </w:p>
        </w:tc>
        <w:tc>
          <w:tcPr>
            <w:tcW w:type="dxa" w:w="1474"/>
          </w:tcPr>
          <w:p>
            <w:r/>
            <w:r>
              <w:rPr>
                <w:b w:val="0"/>
                <w:sz w:val="19"/>
              </w:rPr>
              <w:t>§7.6, §10</w:t>
            </w:r>
          </w:p>
        </w:tc>
      </w:tr>
      <w:tr>
        <w:tc>
          <w:tcPr>
            <w:tcW w:type="dxa" w:w="2041"/>
          </w:tcPr>
          <w:p>
            <w:r/>
            <w:r>
              <w:rPr>
                <w:b w:val="0"/>
                <w:sz w:val="19"/>
              </w:rPr>
              <w:t>Refus expliqués (28/10)</w:t>
            </w:r>
          </w:p>
        </w:tc>
        <w:tc>
          <w:tcPr>
            <w:tcW w:type="dxa" w:w="6009"/>
          </w:tcPr>
          <w:p>
            <w:r/>
            <w:r>
              <w:rPr>
                <w:b w:val="0"/>
                <w:sz w:val="19"/>
              </w:rPr>
              <w:t>getErrorMessage et l'intercepteur Axios d'un 422 donnent le premier motif de errors, sur tous les écrans (séparation des tâches, numéro d'état, gardes de l'amendement…), au lieu de « Donnees invalides. » affiché deux fois ; useToast n'empile plus un message identique. refus-motif.spec.ts.</w:t>
            </w:r>
          </w:p>
        </w:tc>
        <w:tc>
          <w:tcPr>
            <w:tcW w:type="dxa" w:w="1474"/>
          </w:tcPr>
          <w:p>
            <w:r/>
            <w:r>
              <w:rPr>
                <w:b w:val="0"/>
                <w:sz w:val="19"/>
              </w:rPr>
              <w:t>§7.6</w:t>
            </w:r>
          </w:p>
        </w:tc>
      </w:tr>
      <w:tr>
        <w:tc>
          <w:tcPr>
            <w:tcW w:type="dxa" w:w="2041"/>
          </w:tcPr>
          <w:p>
            <w:r/>
            <w:r>
              <w:rPr>
                <w:b w:val="0"/>
                <w:sz w:val="19"/>
              </w:rPr>
              <w:t>Messages de validation (28/10)</w:t>
            </w:r>
          </w:p>
        </w:tc>
        <w:tc>
          <w:tcPr>
            <w:tcW w:type="dxa" w:w="6009"/>
          </w:tcPr>
          <w:p>
            <w:r/>
            <w:r>
              <w:rPr>
                <w:b w:val="0"/>
                <w:sz w:val="19"/>
              </w:rPr>
              <w:t>resources/lang/fr/validation.php : en production (APP_LOCALE=fr, APP_FALLBACK_LOCALE=fr), une règle générique renvoyait sa clé brute (« validation.unique »). Messages et noms de champs en français, déployés avec resources/. ValidationFrancaisTest (19 tests). Pest 690, Vitest 210 (691 / 215 le 29/10).</w:t>
            </w:r>
          </w:p>
        </w:tc>
        <w:tc>
          <w:tcPr>
            <w:tcW w:type="dxa" w:w="1474"/>
          </w:tcPr>
          <w:p>
            <w:r/>
            <w:r>
              <w:rPr>
                <w:b w:val="0"/>
                <w:sz w:val="19"/>
              </w:rPr>
              <w:t>§7.6, §9.6</w:t>
            </w:r>
          </w:p>
        </w:tc>
      </w:tr>
      <w:tr>
        <w:tc>
          <w:tcPr>
            <w:tcW w:type="dxa" w:w="2041"/>
          </w:tcPr>
          <w:p>
            <w:r/>
            <w:r>
              <w:rPr>
                <w:b w:val="0"/>
                <w:sz w:val="19"/>
              </w:rPr>
              <w:t>Textes accentués (29/10)</w:t>
            </w:r>
          </w:p>
        </w:tc>
        <w:tc>
          <w:tcPr>
            <w:tcW w:type="dxa" w:w="6009"/>
          </w:tcPr>
          <w:p>
            <w:r/>
            <w:r>
              <w:rPr>
                <w:b w:val="0"/>
                <w:sz w:val="19"/>
              </w:rPr>
              <w:t>Douze écrans (pages 403, 404, 500, maintenance, connexion, mot de passe, utilisateurs, sauvegardes…) et six messages de l'API (« Agent créé avec succès. »…) rédigés sans accents (n° 48). Sur la page 404, une même icône tronquée pour les trois raccourcis et « Dashboard » en anglais (n° 49). pages-systeme.spec.ts.</w:t>
            </w:r>
          </w:p>
        </w:tc>
        <w:tc>
          <w:tcPr>
            <w:tcW w:type="dxa" w:w="1474"/>
          </w:tcPr>
          <w:p>
            <w:r/>
            <w:r>
              <w:rPr>
                <w:b w:val="0"/>
                <w:sz w:val="19"/>
              </w:rPr>
              <w:t>§3, §10</w:t>
            </w:r>
          </w:p>
        </w:tc>
      </w:tr>
      <w:tr>
        <w:tc>
          <w:tcPr>
            <w:tcW w:type="dxa" w:w="2041"/>
          </w:tcPr>
          <w:p>
            <w:r/>
            <w:r>
              <w:rPr>
                <w:b w:val="0"/>
                <w:sz w:val="19"/>
              </w:rPr>
              <w:t>Galerie et scénario (29/10)</w:t>
            </w:r>
          </w:p>
        </w:tc>
        <w:tc>
          <w:tcPr>
            <w:tcW w:type="dxa" w:w="6009"/>
          </w:tcPr>
          <w:p>
            <w:r/>
            <w:r>
              <w:rPr>
                <w:b w:val="0"/>
                <w:sz w:val="19"/>
              </w:rPr>
              <w:t>Galerie recapturée (46 écrans ; navigateur de capture en LANG=fr_FR.UTF-8, dates dd/mm/yyyy) ; scénario de démonstration rejoué sur l'API réelle, montants inchangés, étape A corrigée (indice ou salaire brut exigé, catégorie déduite).</w:t>
            </w:r>
          </w:p>
        </w:tc>
        <w:tc>
          <w:tcPr>
            <w:tcW w:type="dxa" w:w="1474"/>
          </w:tcPr>
          <w:p>
            <w:r/>
            <w:r>
              <w:rPr>
                <w:b w:val="0"/>
                <w:sz w:val="19"/>
              </w:rPr>
              <w:t>§10, §11</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r>
        <w:rPr>
          <w:b w:val="0"/>
          <w:i w:val="0"/>
        </w:rPr>
        <w:t>Session restaurée au rechargement d'une page (stores/auth.ts → fetchUser, garde du routeur) : seul un 401 (jeton expiré ou révoqué) y met fin. Une erreur passagère de /auth/me (429, 5xx, réseau) garde le jeton et ouvre l'écran 500, dont « Réessayer » revient à la page demandée (chemin interne seulement) ; un 503 ouvre l'écran Maintenance. Avant le 28/10, toute erreur déconnectait et révoquait le jeton côté serveur.</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 ; l'un des deux est exigé (422 sinon : « L'indice ou le salaire brut est requis pour déterminer la catégorie. »).</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 ; déchiffré seulement au moment d'envoyer (App\Support\Messagerie). Une APP_KEY changée le rend indéchiffrable : il est alors à ressaisir.</w:t>
      </w:r>
    </w:p>
    <w:p>
      <w:pPr>
        <w:pStyle w:val="ListBullet"/>
      </w:pPr>
      <w:r>
        <w:t>Session : seul un 401 met fin à une session restaurée ; une erreur passagère ne révoque plus le jeton (§3.1).</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GET / PUT</w:t>
            </w:r>
          </w:p>
        </w:tc>
        <w:tc>
          <w:tcPr>
            <w:tcW w:type="dxa" w:w="4535"/>
          </w:tcPr>
          <w:p>
            <w:r/>
            <w:r>
              <w:rPr>
                <w:b w:val="0"/>
                <w:sz w:val="19"/>
              </w:rPr>
              <w:t>/api/admin/settings</w:t>
            </w:r>
          </w:p>
        </w:tc>
        <w:tc>
          <w:tcPr>
            <w:tcW w:type="dxa" w:w="3628"/>
          </w:tcPr>
          <w:p>
            <w:r/>
            <w:r>
              <w:rPr>
                <w:b w:val="0"/>
                <w:sz w:val="19"/>
              </w:rPr>
              <w:t>Paramètres système, liste blanche, valeurs validées (422 hors domaine) (parametres.gerer)</w:t>
            </w:r>
          </w:p>
        </w:tc>
      </w:tr>
      <w:tr>
        <w:tc>
          <w:tcPr>
            <w:tcW w:type="dxa" w:w="1361"/>
          </w:tcPr>
          <w:p>
            <w:r/>
            <w:r>
              <w:rPr>
                <w:b w:val="0"/>
                <w:sz w:val="19"/>
              </w:rPr>
              <w:t>POST</w:t>
            </w:r>
          </w:p>
        </w:tc>
        <w:tc>
          <w:tcPr>
            <w:tcW w:type="dxa" w:w="4535"/>
          </w:tcPr>
          <w:p>
            <w:r/>
            <w:r>
              <w:rPr>
                <w:b w:val="0"/>
                <w:sz w:val="19"/>
              </w:rPr>
              <w:t>/api/admin/settings/test-email</w:t>
            </w:r>
          </w:p>
        </w:tc>
        <w:tc>
          <w:tcPr>
            <w:tcW w:type="dxa" w:w="3628"/>
          </w:tcPr>
          <w:p>
            <w:r/>
            <w:r>
              <w:rPr>
                <w:b w:val="0"/>
                <w:sz w:val="19"/>
              </w:rPr>
              <w:t>E-mail de test au compte connecté avec la configuration enregistrée ; 422 (champ smtpHost) avec le message du serveur SMTP en cas d'échec (parametres.gerer)</w:t>
            </w:r>
          </w:p>
        </w:tc>
      </w:tr>
      <w:tr>
        <w:tc>
          <w:tcPr>
            <w:tcW w:type="dxa" w:w="1361"/>
          </w:tcPr>
          <w:p>
            <w:r/>
            <w:r>
              <w:rPr>
                <w:b w:val="0"/>
                <w:sz w:val="19"/>
              </w:rPr>
              <w:t>GET</w:t>
            </w:r>
          </w:p>
        </w:tc>
        <w:tc>
          <w:tcPr>
            <w:tcW w:type="dxa" w:w="4535"/>
          </w:tcPr>
          <w:p>
            <w:r/>
            <w:r>
              <w:rPr>
                <w:b w:val="0"/>
                <w:sz w:val="19"/>
              </w:rPr>
              <w:t>/api/admin/parametres/application</w:t>
            </w:r>
          </w:p>
        </w:tc>
        <w:tc>
          <w:tcPr>
            <w:tcW w:type="dxa" w:w="3628"/>
          </w:tcPr>
          <w:p>
            <w:r/>
            <w:r>
              <w:rPr>
                <w:b w:val="0"/>
                <w:sz w:val="19"/>
              </w:rPr>
              <w:t>Nom de l'application et opérateurs ouverts (lecture publique)</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 Corps : message générique « Donnees invalides. » + errors { champ: [motif] }, motifs en français (resources/lang/fr) — l'écran affiche le premier motif (getErrorMessage)</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r>
        <w:tc>
          <w:tcPr>
            <w:tcW w:type="dxa" w:w="1814"/>
          </w:tcPr>
          <w:p>
            <w:r/>
            <w:r>
              <w:rPr>
                <w:b w:val="0"/>
                <w:sz w:val="19"/>
              </w:rPr>
              <w:t>503</w:t>
            </w:r>
          </w:p>
        </w:tc>
        <w:tc>
          <w:tcPr>
            <w:tcW w:type="dxa" w:w="2948"/>
          </w:tcPr>
          <w:p>
            <w:r/>
            <w:r>
              <w:rPr>
                <w:b w:val="0"/>
                <w:sz w:val="19"/>
              </w:rPr>
              <w:t>Service indisponible</w:t>
            </w:r>
          </w:p>
        </w:tc>
        <w:tc>
          <w:tcPr>
            <w:tcW w:type="dxa" w:w="4762"/>
          </w:tcPr>
          <w:p>
            <w:r/>
            <w:r>
              <w:rPr>
                <w:b w:val="0"/>
                <w:sz w:val="19"/>
              </w:rPr>
              <w:t>artisan down (mise à jour) ou mode maintenance de Paramètres (sauf SUPER_ADMIN) ; le SPA ouvre l'écran Maintenance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 (remplacée par l'écran Messagerie si un serveur y est renseigné)</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garde la bêta Vue figée par le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ListBullet"/>
      </w:pPr>
      <w:r>
        <w:t>Correctifs des 27-29/10 (n° 33 à 49) : code seul, aucune migration de plus. Relire storage/app/settings.json avant l'envoi du code : les réglages de Paramètres et de Messagerie qu'il contient s'appliquent dès lors. Le nouveau fichier resources/lang/fr/validation.php part avec resources/, déjà envoyé à chaque mise à jour.</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691 tests au total (76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215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OpenApiReponsesTest (réponses réelles ↔ schémas d'openapi.yaml, mode strict), NotificationModelesEcranTest (utils/notifications.ts ↔ NotificationContenu, utilisé par les écrans e-mail et Paramètres), ReglagesExploitationTest (chaque réglage de Paramètres appliqué)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 ; vérification automatisée en CI depuis le 28/10 (OpenApiReponsesTest). Le 28/10, variantes messagerie et maintenance du scénario rejouées sur l'API réelle (MariaDB, base neuve) : elles ont révélé l'affichage du message générique des 422 à l'écran Messagerie, corrigé. Le 29/10, scénario complet rejoué de nouveau (MariaDB, base neuve, QUEUE_CONNECTION=sync) : état des avances 805 000, aperçus MTN 406 000 et Moov 399 000 ; refus vérifiés avec leur motif en français (agent en double, séparation des tâches, numéro manquant).</w:t>
      </w:r>
    </w:p>
    <w:p>
      <w:pPr>
        <w:pStyle w:val="ListBullet"/>
      </w:pPr>
      <w:r>
        <w:t>Défauts relevés par la revue d'octobre 2026 : 32, puis 17 de plus du 27 au 29/10 (n° 33 à 49, en confrontant la documentation au code et à l'interface), tous corrigés avec un test vu en échec sans le correctif (index : CHANGELOG.md ; détail : docs/revue-projet-2026-10.md §3 et §8).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11. État du projet et reste à faire (29/10/2026)</w:t>
      </w:r>
    </w:p>
    <w:p>
      <w:r>
        <w:rPr>
          <w:b w:val="0"/>
          <w:i w:val="0"/>
        </w:rPr>
        <w:t>Le développement est terminé : 49 défauts relevés par la revue d'octobre 2026 et la relecture des documents (n° 1 à 49), tous corrigés avec un test ; quatre décisions (D1 à D4) appliquées ; aucune décision en attente. Tous les documents sont confrontés au code (détail et cartographie : docs/revue-projet-2026-10.md §8).</w:t>
      </w:r>
    </w:p>
    <w:tbl>
      <w:tblPr>
        <w:tblStyle w:val="TableGrid"/>
        <w:tblW w:type="auto" w:w="0"/>
        <w:jc w:val="center"/>
        <w:tblLayout w:type="fixed"/>
        <w:tblLook w:firstColumn="1" w:firstRow="1" w:lastColumn="0" w:lastRow="0" w:noHBand="0" w:noVBand="1" w:val="04A0"/>
      </w:tblPr>
      <w:tblGrid>
        <w:gridCol w:w="2948"/>
        <w:gridCol w:w="6576"/>
      </w:tblGrid>
      <w:tr>
        <w:tc>
          <w:tcPr>
            <w:tcW w:type="dxa" w:w="2948"/>
            <w:shd w:val="clear" w:fill="1D9E4F"/>
          </w:tcPr>
          <w:p>
            <w:r/>
            <w:r>
              <w:rPr>
                <w:b/>
                <w:color w:val="FFFFFF"/>
                <w:sz w:val="20"/>
              </w:rPr>
              <w:t>Indicateur</w:t>
            </w:r>
          </w:p>
        </w:tc>
        <w:tc>
          <w:tcPr>
            <w:tcW w:type="dxa" w:w="6576"/>
            <w:shd w:val="clear" w:fill="1D9E4F"/>
          </w:tcPr>
          <w:p>
            <w:r/>
            <w:r>
              <w:rPr>
                <w:b/>
                <w:color w:val="FFFFFF"/>
                <w:sz w:val="20"/>
              </w:rPr>
              <w:t>Valeur au 29/10/2026</w:t>
            </w:r>
          </w:p>
        </w:tc>
      </w:tr>
      <w:tr>
        <w:tc>
          <w:tcPr>
            <w:tcW w:type="dxa" w:w="2948"/>
          </w:tcPr>
          <w:p>
            <w:r/>
            <w:r>
              <w:rPr>
                <w:b w:val="0"/>
                <w:sz w:val="19"/>
              </w:rPr>
              <w:t>Tests backend (Pest)</w:t>
            </w:r>
          </w:p>
        </w:tc>
        <w:tc>
          <w:tcPr>
            <w:tcW w:type="dxa" w:w="6576"/>
          </w:tcPr>
          <w:p>
            <w:r/>
            <w:r>
              <w:rPr>
                <w:b w:val="0"/>
                <w:sz w:val="19"/>
              </w:rPr>
              <w:t>691 tests, 76 fichiers — API complète sur SQLite, contrat OpenAPI vérifié</w:t>
            </w:r>
          </w:p>
        </w:tc>
      </w:tr>
      <w:tr>
        <w:tc>
          <w:tcPr>
            <w:tcW w:type="dxa" w:w="2948"/>
          </w:tcPr>
          <w:p>
            <w:r/>
            <w:r>
              <w:rPr>
                <w:b w:val="0"/>
                <w:sz w:val="19"/>
              </w:rPr>
              <w:t>Tests frontend (Vitest)</w:t>
            </w:r>
          </w:p>
        </w:tc>
        <w:tc>
          <w:tcPr>
            <w:tcW w:type="dxa" w:w="6576"/>
          </w:tcPr>
          <w:p>
            <w:r/>
            <w:r>
              <w:rPr>
                <w:b w:val="0"/>
                <w:sz w:val="19"/>
              </w:rPr>
              <w:t>215 tests, 42 fichiers — vues, services, stores, navigation ↔ permissions</w:t>
            </w:r>
          </w:p>
        </w:tc>
      </w:tr>
      <w:tr>
        <w:tc>
          <w:tcPr>
            <w:tcW w:type="dxa" w:w="2948"/>
          </w:tcPr>
          <w:p>
            <w:r/>
            <w:r>
              <w:rPr>
                <w:b w:val="0"/>
                <w:sz w:val="19"/>
              </w:rPr>
              <w:t>Tests de bout en bout (Playwright)</w:t>
            </w:r>
          </w:p>
        </w:tc>
        <w:tc>
          <w:tcPr>
            <w:tcW w:type="dxa" w:w="6576"/>
          </w:tcPr>
          <w:p>
            <w:r/>
            <w:r>
              <w:rPr>
                <w:b w:val="0"/>
                <w:sz w:val="19"/>
              </w:rPr>
              <w:t>3 parcours critiques</w:t>
            </w:r>
          </w:p>
        </w:tc>
      </w:tr>
      <w:tr>
        <w:tc>
          <w:tcPr>
            <w:tcW w:type="dxa" w:w="2948"/>
          </w:tcPr>
          <w:p>
            <w:r/>
            <w:r>
              <w:rPr>
                <w:b w:val="0"/>
                <w:sz w:val="19"/>
              </w:rPr>
              <w:t>Scénario de démonstration</w:t>
            </w:r>
          </w:p>
        </w:tc>
        <w:tc>
          <w:tcPr>
            <w:tcW w:type="dxa" w:w="6576"/>
          </w:tcPr>
          <w:p>
            <w:r/>
            <w:r>
              <w:rPr>
                <w:b w:val="0"/>
                <w:sz w:val="19"/>
              </w:rPr>
              <w:t>Rejoué sur l'API réelle le 29/10, montants et fichiers inchangés</w:t>
            </w:r>
          </w:p>
        </w:tc>
      </w:tr>
      <w:tr>
        <w:tc>
          <w:tcPr>
            <w:tcW w:type="dxa" w:w="2948"/>
          </w:tcPr>
          <w:p>
            <w:r/>
            <w:r>
              <w:rPr>
                <w:b w:val="0"/>
                <w:sz w:val="19"/>
              </w:rPr>
              <w:t>Galerie des écrans</w:t>
            </w:r>
          </w:p>
        </w:tc>
        <w:tc>
          <w:tcPr>
            <w:tcW w:type="dxa" w:w="6576"/>
          </w:tcPr>
          <w:p>
            <w:r/>
            <w:r>
              <w:rPr>
                <w:b w:val="0"/>
                <w:sz w:val="19"/>
              </w:rPr>
              <w:t>46 écrans recapturés le 29/10 ; 53 pages</w:t>
            </w:r>
          </w:p>
        </w:tc>
      </w:tr>
      <w:tr>
        <w:tc>
          <w:tcPr>
            <w:tcW w:type="dxa" w:w="2948"/>
          </w:tcPr>
          <w:p>
            <w:r/>
            <w:r>
              <w:rPr>
                <w:b w:val="0"/>
                <w:sz w:val="19"/>
              </w:rPr>
              <w:t>Migrations à jouer en 1.4</w:t>
            </w:r>
          </w:p>
        </w:tc>
        <w:tc>
          <w:tcPr>
            <w:tcW w:type="dxa" w:w="6576"/>
          </w:tcPr>
          <w:p>
            <w:r/>
            <w:r>
              <w:rPr>
                <w:b w:val="0"/>
                <w:sz w:val="19"/>
              </w:rPr>
              <w:t>Une seule (fuseau horaire), application en maintenance</w:t>
            </w:r>
          </w:p>
        </w:tc>
      </w:tr>
    </w:tbl>
    <w:p/>
    <w:p>
      <w:pPr>
        <w:pStyle w:val="Heading2"/>
      </w:pPr>
      <w:r>
        <w:t>11.1 Reste à faire — exploitation (instance en ligne)</w:t>
      </w:r>
    </w:p>
    <w:p>
      <w:pPr>
        <w:pStyle w:val="ListBullet"/>
      </w:pPr>
      <w:r>
        <w:t>Mettre à jour l'instance vers la 1.4 avec docs/runbook-mise-a-jour-cron.md (maintenance, une migration, vendor/ inchangé, SPA à redéployer ; resources/lang/fr/validation.php part avec resources/).</w:t>
      </w:r>
    </w:p>
    <w:p>
      <w:pPr>
        <w:pStyle w:val="ListBullet"/>
      </w:pPr>
      <w:r>
        <w:t>Relire storage/app/settings.json avant d'envoyer le code : ses réglages (HTTPS forcé, maintenance, serveur SMTP…) s'appliquent dès lors.</w:t>
      </w:r>
    </w:p>
    <w:p>
      <w:pPr>
        <w:pStyle w:val="ListBullet"/>
      </w:pPr>
      <w:r>
        <w:t>Contrôler avec docs/checklist-post-deploiement.md §06 (lecture seule en production, création de données en recette).</w:t>
      </w:r>
    </w:p>
    <w:p>
      <w:pPr>
        <w:pStyle w:val="ListBullet"/>
      </w:pPr>
      <w:r>
        <w:t>Vider le cache des PDF d'OM (storage/app/private/ordres/) et envoyer un e-mail de test depuis Messagerie.</w:t>
      </w:r>
    </w:p>
    <w:p>
      <w:pPr>
        <w:pStyle w:val="ListBullet"/>
      </w:pPr>
      <w:r>
        <w:t>Éprouver la restauration d'une sauvegarde sur une base MySQL de recette.</w:t>
      </w:r>
    </w:p>
    <w:p>
      <w:pPr>
        <w:pStyle w:val="ListBullet"/>
      </w:pPr>
      <w:r>
        <w:t>Sauvegarder storage/ avec la base (réglages, paraphes et fichiers produits ne sont pas dans le dump).</w:t>
      </w:r>
    </w:p>
    <w:p>
      <w:pPr>
        <w:pStyle w:val="ListBullet"/>
      </w:pPr>
      <w:r>
        <w:t>Si la file passe en QUEUE_CONNECTION=database : tâche Cron queue:work nommant les trois files.</w:t>
      </w:r>
    </w:p>
    <w:p>
      <w:pPr>
        <w:pStyle w:val="Heading2"/>
      </w:pPr>
      <w:r>
        <w:t>11.2 Dette technique connue (sans effet sur le fonctionnement)</w:t>
      </w:r>
    </w:p>
    <w:p>
      <w:pPr>
        <w:pStyle w:val="ListBullet"/>
      </w:pPr>
      <w:r>
        <w:t>Correctifs sans test automatisé : minuteurs, page de maintenance, garde de route au rechargement, lockForUpdate sous MySQL.</w:t>
      </w:r>
    </w:p>
    <w:p>
      <w:pPr>
        <w:pStyle w:val="ListBullet"/>
      </w:pPr>
      <w:r>
        <w:t>Restauration et tri des sauvegardes couverts seulement par Pest (SQLite, simulation).</w:t>
      </w:r>
    </w:p>
    <w:p>
      <w:pPr>
        <w:pStyle w:val="ListBullet"/>
      </w:pPr>
      <w:r>
        <w:t>Scripts de recette (83 contrôles) et de rejeu de la démonstration non versionnés.</w:t>
      </w:r>
    </w:p>
    <w:p>
      <w:pPr>
        <w:pStyle w:val="ListBullet"/>
      </w:pPr>
      <w:r>
        <w:t>Trois écrans (barème, exports de rapports) affichent un message d'échec générique à côté du motif réel.</w:t>
      </w:r>
    </w:p>
    <w:p>
      <w:pPr>
        <w:pStyle w:val="ListBullet"/>
      </w:pPr>
      <w:r>
        <w:t>Vue reste en 3.6.0-beta.9 (figée par le lock) : passer à la 3.6 stable à sa sortie, CI rejouée.</w:t>
      </w:r>
    </w:p>
    <w:p>
      <w:pPr>
        <w:pStyle w:val="ListBullet"/>
      </w:pPr>
      <w:r>
        <w:t>Deux documents historiques (docs/deploiement-circuit-validation.md, docs/plan-validation-daf-dg.md) à archiver si le client le souhaite.</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