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1.3.0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r>
        <w:tc>
          <w:tcPr>
            <w:tcW w:type="dxa" w:w="2041"/>
          </w:tcPr>
          <w:p>
            <w:r/>
            <w:r>
              <w:rPr>
                <w:b w:val="0"/>
                <w:sz w:val="19"/>
              </w:rPr>
              <w:t>Files d'attente</w:t>
            </w:r>
          </w:p>
        </w:tc>
        <w:tc>
          <w:tcPr>
            <w:tcW w:type="dxa" w:w="6009"/>
          </w:tcPr>
          <w:p>
            <w:r/>
            <w:r>
              <w:rPr>
                <w:b w:val="0"/>
                <w:sz w:val="19"/>
              </w:rPr>
              <w:t>Échec définitif d'un gros lot : le lot passe ERREUR par LotPaiementService::marquerErreur (versements EN_ATTENTE, audit ERROR_LOT) ; la tâche Cron du worker nomme les trois files.</w:t>
            </w:r>
          </w:p>
        </w:tc>
        <w:tc>
          <w:tcPr>
            <w:tcW w:type="dxa" w:w="1474"/>
          </w:tcPr>
          <w:p>
            <w:r/>
            <w:r>
              <w:rPr>
                <w:b w:val="0"/>
                <w:sz w:val="19"/>
              </w:rPr>
              <w:t>§4.3, §9.3</w:t>
            </w:r>
          </w:p>
        </w:tc>
      </w:tr>
      <w:tr>
        <w:tc>
          <w:tcPr>
            <w:tcW w:type="dxa" w:w="2041"/>
          </w:tcPr>
          <w:p>
            <w:r/>
            <w:r>
              <w:rPr>
                <w:b w:val="0"/>
                <w:sz w:val="19"/>
              </w:rPr>
              <w:t>Sauvegardes</w:t>
            </w:r>
          </w:p>
        </w:tc>
        <w:tc>
          <w:tcPr>
            <w:tcW w:type="dxa" w:w="6009"/>
          </w:tcPr>
          <w:p>
            <w:r/>
            <w:r>
              <w:rPr>
                <w:b w:val="0"/>
                <w:sz w:val="19"/>
              </w:rPr>
              <w:t>Liste triée par date du fichier (la plus récente en tête), et non plus par nom.</w:t>
            </w:r>
          </w:p>
        </w:tc>
        <w:tc>
          <w:tcPr>
            <w:tcW w:type="dxa" w:w="1474"/>
          </w:tcPr>
          <w:p>
            <w:r/>
            <w:r>
              <w:rPr>
                <w:b w:val="0"/>
                <w:sz w:val="19"/>
              </w:rPr>
              <w:t>§4.7</w:t>
            </w:r>
          </w:p>
        </w:tc>
      </w:tr>
      <w:tr>
        <w:tc>
          <w:tcPr>
            <w:tcW w:type="dxa" w:w="2041"/>
          </w:tcPr>
          <w:p>
            <w:r/>
            <w:r>
              <w:rPr>
                <w:b w:val="0"/>
                <w:sz w:val="19"/>
              </w:rPr>
              <w:t>Référence API</w:t>
            </w:r>
          </w:p>
        </w:tc>
        <w:tc>
          <w:tcPr>
            <w:tcW w:type="dxa" w:w="6009"/>
          </w:tcPr>
          <w:p>
            <w:r/>
            <w:r>
              <w:rPr>
                <w:b w:val="0"/>
                <w:sz w:val="19"/>
              </w:rPr>
              <w:t>backend/docs/openapi.yaml réécrite sur les routes réelles (96 opérations, permission x-permission) et verrouillée par OpenApiTest.</w:t>
            </w:r>
          </w:p>
        </w:tc>
        <w:tc>
          <w:tcPr>
            <w:tcW w:type="dxa" w:w="1474"/>
          </w:tcPr>
          <w:p>
            <w:r/>
            <w:r>
              <w:rPr>
                <w:b w:val="0"/>
                <w:sz w:val="19"/>
              </w:rPr>
              <w:t>§7.1, §10</w:t>
            </w:r>
          </w:p>
        </w:tc>
      </w:tr>
      <w:tr>
        <w:tc>
          <w:tcPr>
            <w:tcW w:type="dxa" w:w="2041"/>
          </w:tcPr>
          <w:p>
            <w:r/>
            <w:r>
              <w:rPr>
                <w:b w:val="0"/>
                <w:sz w:val="19"/>
              </w:rPr>
              <w:t>Amendement</w:t>
            </w:r>
          </w:p>
        </w:tc>
        <w:tc>
          <w:tcPr>
            <w:tcW w:type="dxa" w:w="6009"/>
          </w:tcPr>
          <w:p>
            <w:r/>
            <w:r>
              <w:rPr>
                <w:b w:val="0"/>
                <w:sz w:val="19"/>
              </w:rPr>
              <w:t>Deux amendements dans la même seconde : le dernier est départagé par l'id (PDF, document de retenue, journal de la fiche).</w:t>
            </w:r>
          </w:p>
        </w:tc>
        <w:tc>
          <w:tcPr>
            <w:tcW w:type="dxa" w:w="1474"/>
          </w:tcPr>
          <w:p>
            <w:r/>
            <w:r>
              <w:rPr>
                <w:b w:val="0"/>
                <w:sz w:val="19"/>
              </w:rPr>
              <w:t>§4.4</w:t>
            </w:r>
          </w:p>
        </w:tc>
      </w:tr>
      <w:tr>
        <w:tc>
          <w:tcPr>
            <w:tcW w:type="dxa" w:w="2041"/>
          </w:tcPr>
          <w:p>
            <w:r/>
            <w:r>
              <w:rPr>
                <w:b w:val="0"/>
                <w:sz w:val="19"/>
              </w:rPr>
              <w:t>Fiche de l'OM</w:t>
            </w:r>
          </w:p>
        </w:tc>
        <w:tc>
          <w:tcPr>
            <w:tcW w:type="dxa" w:w="6009"/>
          </w:tcPr>
          <w:p>
            <w:r/>
            <w:r>
              <w:rPr>
                <w:b w:val="0"/>
                <w:sz w:val="19"/>
              </w:rPr>
              <w:t>Lien « PDF de l'OM » vers l'écran du PDF officiel (OM-07), seul accès depuis l'interface une fois l'OM validé.</w:t>
            </w:r>
          </w:p>
        </w:tc>
        <w:tc>
          <w:tcPr>
            <w:tcW w:type="dxa" w:w="1474"/>
          </w:tcPr>
          <w:p>
            <w:r/>
            <w:r>
              <w:rPr>
                <w:b w:val="0"/>
                <w:sz w:val="19"/>
              </w:rPr>
              <w:t>§4.4</w:t>
            </w:r>
          </w:p>
        </w:tc>
      </w:tr>
      <w:tr>
        <w:tc>
          <w:tcPr>
            <w:tcW w:type="dxa" w:w="2041"/>
          </w:tcPr>
          <w:p>
            <w:r/>
            <w:r>
              <w:rPr>
                <w:b w:val="0"/>
                <w:sz w:val="19"/>
              </w:rPr>
              <w:t>Code mort</w:t>
            </w:r>
          </w:p>
        </w:tc>
        <w:tc>
          <w:tcPr>
            <w:tcW w:type="dxa" w:w="6009"/>
          </w:tcPr>
          <w:p>
            <w:r/>
            <w:r>
              <w:rPr>
                <w:b w:val="0"/>
                <w:sz w:val="19"/>
              </w:rPr>
              <w:t>Form Requests StoreOrdreMissionRequest / UpdateOrdreMissionRequest supprimées (les OM ne se créent que via /missions).</w:t>
            </w:r>
          </w:p>
        </w:tc>
        <w:tc>
          <w:tcPr>
            <w:tcW w:type="dxa" w:w="1474"/>
          </w:tcPr>
          <w:p>
            <w:r/>
            <w:r>
              <w:rPr>
                <w:b w:val="0"/>
                <w:sz w:val="19"/>
              </w:rPr>
              <w:t>§2.3, §9.5</w:t>
            </w:r>
          </w:p>
        </w:tc>
      </w:tr>
      <w:tr>
        <w:tc>
          <w:tcPr>
            <w:tcW w:type="dxa" w:w="2041"/>
          </w:tcPr>
          <w:p>
            <w:r/>
            <w:r>
              <w:rPr>
                <w:b w:val="0"/>
                <w:sz w:val="19"/>
              </w:rPr>
              <w:t>Solde d'un OM</w:t>
            </w:r>
          </w:p>
        </w:tc>
        <w:tc>
          <w:tcPr>
            <w:tcW w:type="dxa" w:w="6009"/>
          </w:tcPr>
          <w:p>
            <w:r/>
            <w:r>
              <w:rPr>
                <w:b w:val="0"/>
                <w:sz w:val="19"/>
              </w:rPr>
              <w:t>SOLDE quand tous les versements NON NULS sont réglés (CONFIRME, ou RECOUVRE pour un trop-perçu) : à la confirmation d'un lot, au constat d'un recouvrement et après un amendement qui ramène le reliquat à 0. Une tranche nulle (part d'avance 0 ou 100 %) ne retient pas l'OM. Un OM exonéré est soldé dès sa validation, dans les deux circuits (n° 19, 23, 24, 26).</w:t>
            </w:r>
          </w:p>
        </w:tc>
        <w:tc>
          <w:tcPr>
            <w:tcW w:type="dxa" w:w="1474"/>
          </w:tcPr>
          <w:p>
            <w:r/>
            <w:r>
              <w:rPr>
                <w:b w:val="0"/>
                <w:sz w:val="19"/>
              </w:rPr>
              <w:t>§4.3, §4.6</w:t>
            </w:r>
          </w:p>
        </w:tc>
      </w:tr>
      <w:tr>
        <w:tc>
          <w:tcPr>
            <w:tcW w:type="dxa" w:w="2041"/>
          </w:tcPr>
          <w:p>
            <w:r/>
            <w:r>
              <w:rPr>
                <w:b w:val="0"/>
                <w:sz w:val="19"/>
              </w:rPr>
              <w:t>Exercice</w:t>
            </w:r>
          </w:p>
        </w:tc>
        <w:tc>
          <w:tcPr>
            <w:tcW w:type="dxa" w:w="6009"/>
          </w:tcPr>
          <w:p>
            <w:r/>
            <w:r>
              <w:rPr>
                <w:b w:val="0"/>
                <w:sz w:val="19"/>
              </w:rPr>
              <w:t>L'écran Paramètres propose l'exercice déterminé par le mois de début, et non l'année civile (n° 20).</w:t>
            </w:r>
          </w:p>
        </w:tc>
        <w:tc>
          <w:tcPr>
            <w:tcW w:type="dxa" w:w="1474"/>
          </w:tcPr>
          <w:p>
            <w:r/>
            <w:r>
              <w:rPr>
                <w:b w:val="0"/>
                <w:sz w:val="19"/>
              </w:rPr>
              <w:t>§9.2</w:t>
            </w:r>
          </w:p>
        </w:tc>
      </w:tr>
      <w:tr>
        <w:tc>
          <w:tcPr>
            <w:tcW w:type="dxa" w:w="2041"/>
          </w:tcPr>
          <w:p>
            <w:r/>
            <w:r>
              <w:rPr>
                <w:b w:val="0"/>
                <w:sz w:val="19"/>
              </w:rPr>
              <w:t>Lot complémentaire</w:t>
            </w:r>
          </w:p>
        </w:tc>
        <w:tc>
          <w:tcPr>
            <w:tcW w:type="dxa" w:w="6009"/>
          </w:tcPr>
          <w:p>
            <w:r/>
            <w:r>
              <w:rPr>
                <w:b w:val="0"/>
                <w:sz w:val="19"/>
              </w:rPr>
              <w:t>L'écran de génération propose « Générer le lot complémentaire » quand l'aperçu d'un lot confirmé compte encore des bénéficiaires (n° 21).</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Refusé si le reliquat de l'OM est déjà CONFIRME (n° 22). Un OM SOLDE reste amendable hors reliquat payé ou trop-perçu recouvré ; il redevient VALIDE si un montant est de nouveau à régler (n° 28).</w:t>
            </w:r>
          </w:p>
        </w:tc>
        <w:tc>
          <w:tcPr>
            <w:tcW w:type="dxa" w:w="1474"/>
          </w:tcPr>
          <w:p>
            <w:r/>
            <w:r>
              <w:rPr>
                <w:b w:val="0"/>
                <w:sz w:val="19"/>
              </w:rPr>
              <w:t>§4.6</w:t>
            </w:r>
          </w:p>
        </w:tc>
      </w:tr>
      <w:tr>
        <w:tc>
          <w:tcPr>
            <w:tcW w:type="dxa" w:w="2041"/>
          </w:tcPr>
          <w:p>
            <w:r/>
            <w:r>
              <w:rPr>
                <w:b w:val="0"/>
                <w:sz w:val="19"/>
              </w:rPr>
              <w:t>Notifications</w:t>
            </w:r>
          </w:p>
        </w:tc>
        <w:tc>
          <w:tcPr>
            <w:tcW w:type="dxa" w:w="6009"/>
          </w:tcPr>
          <w:p>
            <w:r/>
            <w:r>
              <w:rPr>
                <w:b w:val="0"/>
                <w:sz w:val="19"/>
              </w:rPr>
              <w:t>Adressées aux seuls comptes ACTIFS des profils système ; aucun e-mail vers un compte désactivé entre-temps (n° 27).</w:t>
            </w:r>
          </w:p>
        </w:tc>
        <w:tc>
          <w:tcPr>
            <w:tcW w:type="dxa" w:w="1474"/>
          </w:tcPr>
          <w:p>
            <w:r/>
            <w:r>
              <w:rPr>
                <w:b w:val="0"/>
                <w:sz w:val="19"/>
              </w:rPr>
              <w:t>§4.2, §6.3</w:t>
            </w:r>
          </w:p>
        </w:tc>
      </w:tr>
      <w:tr>
        <w:tc>
          <w:tcPr>
            <w:tcW w:type="dxa" w:w="2041"/>
          </w:tcPr>
          <w:p>
            <w:r/>
            <w:r>
              <w:rPr>
                <w:b w:val="0"/>
                <w:sz w:val="19"/>
              </w:rPr>
              <w:t>API</w:t>
            </w:r>
          </w:p>
        </w:tc>
        <w:tc>
          <w:tcPr>
            <w:tcW w:type="dxa" w:w="6009"/>
          </w:tcPr>
          <w:p>
            <w:r/>
            <w:r>
              <w:rPr>
                <w:b w:val="0"/>
                <w:sz w:val="19"/>
              </w:rPr>
              <w:t>Toute erreur d'une route /api/* répond en JSON, même sans en-tête Accept : 405, 404, 403, 422 et 500, comme le 401 (n° 29). GET/PUT /admin/settings renvoient toujours un objet (n° 32).</w:t>
            </w:r>
          </w:p>
        </w:tc>
        <w:tc>
          <w:tcPr>
            <w:tcW w:type="dxa" w:w="1474"/>
          </w:tcPr>
          <w:p>
            <w:r/>
            <w:r>
              <w:rPr>
                <w:b w:val="0"/>
                <w:sz w:val="19"/>
              </w:rPr>
              <w:t>§6.3, §7.6</w:t>
            </w:r>
          </w:p>
        </w:tc>
      </w:tr>
      <w:tr>
        <w:tc>
          <w:tcPr>
            <w:tcW w:type="dxa" w:w="2041"/>
          </w:tcPr>
          <w:p>
            <w:r/>
            <w:r>
              <w:rPr>
                <w:b w:val="0"/>
                <w:sz w:val="19"/>
              </w:rPr>
              <w:t>Signatures</w:t>
            </w:r>
          </w:p>
        </w:tc>
        <w:tc>
          <w:tcPr>
            <w:tcW w:type="dxa" w:w="6009"/>
          </w:tcPr>
          <w:p>
            <w:r/>
            <w:r>
              <w:rPr>
                <w:b w:val="0"/>
                <w:sz w:val="19"/>
              </w:rPr>
              <w:t>Nom et fonction figés à la signature : Paramètres › Signatures, sinon le compte du signataire (fonction posée par ComptesCircuitSeeder), sinon le libellé du poste (n° 30). ComptesCircuitSeeder ne rétrograde jamais un super administrateur (n° 31).</w:t>
            </w:r>
          </w:p>
        </w:tc>
        <w:tc>
          <w:tcPr>
            <w:tcW w:type="dxa" w:w="1474"/>
          </w:tcPr>
          <w:p>
            <w:r/>
            <w:r>
              <w:rPr>
                <w:b w:val="0"/>
                <w:sz w:val="19"/>
              </w:rPr>
              <w:t>§3.5, §9.4</w:t>
            </w:r>
          </w:p>
        </w:tc>
      </w:tr>
      <w:tr>
        <w:tc>
          <w:tcPr>
            <w:tcW w:type="dxa" w:w="2041"/>
          </w:tcPr>
          <w:p>
            <w:r/>
            <w:r>
              <w:rPr>
                <w:b w:val="0"/>
                <w:sz w:val="19"/>
              </w:rPr>
              <w:t>Référence API</w:t>
            </w:r>
          </w:p>
        </w:tc>
        <w:tc>
          <w:tcPr>
            <w:tcW w:type="dxa" w:w="6009"/>
          </w:tcPr>
          <w:p>
            <w:r/>
            <w:r>
              <w:rPr>
                <w:b w:val="0"/>
                <w:sz w:val="19"/>
              </w:rPr>
              <w:t>openapi.yaml validée OpenAPI 3.0.3 et confrontée aux réponses réelles (routes GET et parcours d'écriture complet) le 25/10/2026.</w:t>
            </w:r>
          </w:p>
        </w:tc>
        <w:tc>
          <w:tcPr>
            <w:tcW w:type="dxa" w:w="1474"/>
          </w:tcPr>
          <w:p>
            <w:r/>
            <w:r>
              <w:rPr>
                <w:b w:val="0"/>
                <w:sz w:val="19"/>
              </w:rPr>
              <w:t>§7.1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(gros lots de paiement, exports de rapports). Déploiement : WampServer + start-dev.ps1 (dev) ; hébergement cPanel mutualisé (prod, DEPLOY-CPANEL.md).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3.6 bêta (Composition API)</w:t>
            </w:r>
          </w:p>
        </w:tc>
        <w:tc>
          <w:tcPr>
            <w:tcW w:type="dxa" w:w="4649"/>
          </w:tcPr>
          <w:p>
            <w:r/>
            <w:r>
              <w:rPr>
                <w:b w:val="0"/>
                <w:sz w:val="19"/>
              </w:rPr>
              <w:t>Framework JavaScript principal — version figée par package-lock.json (3.6.0-beta.9) : installer avec npm ci</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8.4.x, 64 bits</w:t>
            </w:r>
          </w:p>
        </w:tc>
        <w:tc>
          <w:tcPr>
            <w:tcW w:type="dxa" w:w="4195"/>
          </w:tcPr>
          <w:p>
            <w:r/>
            <w:r>
              <w:rPr>
                <w:b w:val="0"/>
                <w:sz w:val="19"/>
              </w:rPr>
              <w:t>Langage backend : minimum imposé par composer.lock (Symfony 8, activitylog) ; 8.5 non pris en charge (PhpSpreadsheet déclare &lt; 8.5.0)</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notifications, ordres-mission)</w:t>
            </w:r>
          </w:p>
          <w:p>
            <w:r>
              <w:rPr>
                <w:rFonts w:ascii="Consolas" w:hAnsi="Consolas"/>
                <w:color w:val="FFFFFF"/>
                <w:sz w:val="18"/>
              </w:rPr>
              <w:t xml:space="preserve">    src/composables/       Logique réutilisable (useApi, useAuth, usePartAvance, useSearch, useToast)</w:t>
            </w:r>
          </w:p>
          <w:p>
            <w:r>
              <w:rPr>
                <w:rFonts w:ascii="Consolas" w:hAnsi="Consolas"/>
                <w:color w:val="FFFFFF"/>
                <w:sz w:val="18"/>
              </w:rPr>
              <w:t xml:space="preserve">    src/utils/permissions.ts  Miroir RBAC frontend (guards + directive v-permission)</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app/Http/Requests/     Form Requests (validation des écritures)</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(gros lots, exports de rapports, e-mails)</w:t>
            </w:r>
          </w:p>
          <w:p>
            <w:r>
              <w:rPr>
                <w:rFonts w:ascii="Consolas" w:hAnsi="Consolas"/>
                <w:color w:val="FFFFFF"/>
                <w:sz w:val="18"/>
              </w:rPr>
              <w:t xml:space="preserve">    docs/openapi.yaml      Référence API (verrouillée par tests/Feature/OpenApiTest.php)</w:t>
            </w:r>
          </w:p>
          <w:p>
            <w:r>
              <w:rPr>
                <w:rFonts w:ascii="Consolas" w:hAnsi="Consolas"/>
                <w:color w:val="FFFFFF"/>
                <w:sz w:val="18"/>
              </w:rPr>
              <w:t xml:space="preserve">  docs/                    Documentation (.docx + scripts générateurs)</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 Nom et fonction sont figés à chaque signature, dans cet ordre : Paramètres › Signatures, sinon le compte du signataire, sinon le libellé du poste (« Le Directeur Général »…).</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 ; après confirmation d'un lot, le bouton devient « Générer le lot complémentaire » tant que l'aperçu compte un bénéficiaire.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 Sur ce circuit, un OM exonéré (montant nul) passe directement SOLDE.</w:t>
      </w:r>
    </w:p>
    <w:p>
      <w:pPr>
        <w:pStyle w:val="ListBullet"/>
      </w:pPr>
      <w:r>
        <w:t>Notifications (cloche + e-mail, NotificationService::notifierRole), adressées aux seuls comptes ACTIFS du profil système concerné : le signataire de l'étape suivante, l'agent financier à la validation finale, le gestionnaire au rejet. Un rôle personnalisé ou un droit accordé individuellement autorise l'action sans être notifié.</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dont tous les versements non nuls sont réglés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ListBullet"/>
      </w:pPr>
      <w:r>
        <w:t>Gros lot en file (GenererLotPaiementJob, file « paiements ») : mêmes règles que la génération directe (LotPaiementService::generer). En cas d'échec définitif (après 3 tentatives, ou dès le premier échec en QUEUE_CONNECTION=sync), le suivi passe ERREUR et le dernier lot GENERE/ERREUR de la clé passe en ERREUR par LotPaiementService::marquerErreur, comme l'action manuelle : versements EN_ATTENTE, coordonnées rafraîchies, audit ERROR_LOT. Un lot CONFIRME n'est jamais touché. Détail : backend/docs/queues.md.</w:t>
      </w:r>
    </w:p>
    <w:p>
      <w:pPr>
        <w:pStyle w:val="ListBullet"/>
      </w:pPr>
      <w:r>
        <w:t>En QUEUE_CONNECTION=sync (production cPanel), le job tourne dans la requête : le gros lot répond 202 seulement si la génération réussit ; sinon l'erreur revient dans la réponse même (après failed()). L'écran ne se rafraîchit pas alors : recharger la page avant toute autre action.</w:t>
      </w:r>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clique « PDF de l'OM » (écran OM-07, /ordres/:id/pdf) puis « 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ListBullet"/>
      </w:pPr>
      <w:r>
        <w:t>Dernier amendement : tri par amende_le puis id décroissants (deux amendements dans la même seconde restent ordonnés). Même ordre pour le document de retenue (motif) et le journal de la fiche OM.</w:t>
      </w:r>
    </w:p>
    <w:p>
      <w:pPr>
        <w:pStyle w:val="ListBullet"/>
      </w:pPr>
      <w:r>
        <w:t>Accès : le lien « PDF de l'OM » de la fiche est le seul chemin vers le PDF officiel ; « Télécharger le brouillon » (filigrané) n'est proposé que tant que l'OM n'est ni VALIDE ni SOLDE.</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le reliquat est déjà CONFIRME (payé : avenant formel) ; si un trop-perçu est déjà RECOUVRE. Un OM SOLDE reste amendable hors ces deux derniers cas.</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Statut</w:t>
            </w:r>
          </w:p>
        </w:tc>
        <w:tc>
          <w:tcPr>
            <w:tcW w:type="dxa" w:w="7483"/>
          </w:tcPr>
          <w:p>
            <w:r/>
            <w:r>
              <w:rPr>
                <w:b w:val="0"/>
                <w:sz w:val="19"/>
              </w:rPr>
              <w:t>Un OM SOLDE à qui l'amendement recrée un montant à régler redevient VALIDE ; un reliquat ramené à 0, avance payée, solde l'OM (OrdreMission::solderSiRegle).</w:t>
            </w:r>
          </w:p>
        </w:tc>
      </w:tr>
      <w:tr>
        <w:tc>
          <w:tcPr>
            <w:tcW w:type="dxa" w:w="454"/>
          </w:tcPr>
          <w:p>
            <w:r/>
            <w:r>
              <w:rPr>
                <w:b w:val="0"/>
                <w:sz w:val="19"/>
              </w:rPr>
              <w:t>6</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à l'agent financier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Consulte la liste (GET /api/admin/backups, triée par date du fichier, la plus récente en tête) et 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ou si son reliquat est CONFIRME (cf. §4.6).</w:t>
            </w:r>
          </w:p>
        </w:tc>
        <w:tc>
          <w:tcPr>
            <w:tcW w:type="dxa" w:w="2041"/>
          </w:tcPr>
          <w:p>
            <w:r/>
            <w:r>
              <w:rPr>
                <w:b w:val="0"/>
                <w:sz w:val="19"/>
              </w:rPr>
              <w:t>API</w:t>
            </w:r>
          </w:p>
        </w:tc>
      </w:tr>
      <w:tr>
        <w:tc>
          <w:tcPr>
            <w:tcW w:type="dxa" w:w="2041"/>
          </w:tcPr>
          <w:p>
            <w:r/>
            <w:r>
              <w:rPr>
                <w:b w:val="0"/>
                <w:sz w:val="19"/>
              </w:rPr>
              <w:t>Solde</w:t>
            </w:r>
          </w:p>
        </w:tc>
        <w:tc>
          <w:tcPr>
            <w:tcW w:type="dxa" w:w="5443"/>
          </w:tcPr>
          <w:p>
            <w:r/>
            <w:r>
              <w:rPr>
                <w:b w:val="0"/>
                <w:sz w:val="19"/>
              </w:rPr>
              <w:t>OM SOLDE quand tous ses versements non nuls sont CONFIRME ou RECOUVRE ; OM exonéré soldé à sa validation.</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erreur d'une route /api/* répond en JSON, même sans en-tête Accept : 401 (aucune redirection vers une page de login), 405, 404, 403, 422 et 500 (bootstrap/app.php).</w:t>
      </w:r>
    </w:p>
    <w:p>
      <w:pPr>
        <w:pStyle w:val="ListBullet"/>
      </w:pPr>
      <w:r>
        <w:t>Notifications et e-mails réservés aux comptes actifs ; un compte désactivé n'en reçoit plus.</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 Référence exhaustive : backend/docs/openapi.yaml (OpenAPI 3, 96 opérations, chacune avec sa clé x-permission) ; OpenApiTest vérifie que chaque route y figure, sans opération en trop, avec la permission exigée par le middleware. Le 25/10/2026, le document a été validé OpenAPI 3.0.3 et les réponses réelles confrontées aux schémas (routes GET et parcours d'écriture complet). Les tableaux ci-dessous en sont un résumé.</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w:t>
            </w:r>
          </w:p>
        </w:tc>
        <w:tc>
          <w:tcPr>
            <w:tcW w:type="dxa" w:w="4535"/>
          </w:tcPr>
          <w:p>
            <w:r/>
            <w:r>
              <w:rPr>
                <w:b w:val="0"/>
                <w:sz w:val="19"/>
              </w:rPr>
              <w:t>/api/admin/settings</w:t>
            </w:r>
          </w:p>
        </w:tc>
        <w:tc>
          <w:tcPr>
            <w:tcW w:type="dxa" w:w="3628"/>
          </w:tcPr>
          <w:p>
            <w:r/>
            <w:r>
              <w:rPr>
                <w:b w:val="0"/>
                <w:sz w:val="19"/>
              </w:rPr>
              <w:t>Paramètres système (parametres.gerer)</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 / 405</w:t>
            </w:r>
          </w:p>
        </w:tc>
        <w:tc>
          <w:tcPr>
            <w:tcW w:type="dxa" w:w="2948"/>
          </w:tcPr>
          <w:p>
            <w:r/>
            <w:r>
              <w:rPr>
                <w:b w:val="0"/>
                <w:sz w:val="19"/>
              </w:rPr>
              <w:t>Introuvable / méthode non permise</w:t>
            </w:r>
          </w:p>
        </w:tc>
        <w:tc>
          <w:tcPr>
            <w:tcW w:type="dxa" w:w="4762"/>
          </w:tcPr>
          <w:p>
            <w:r/>
            <w:r>
              <w:rPr>
                <w:b w:val="0"/>
                <w:sz w:val="19"/>
              </w:rPr>
              <w:t>Ressource ou route inexistante / ex. GET sur /api/auth/login (toujours en JSON)</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 start-dev.ps1 / stop-dev.ps1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Hébergement cPanel mutualisé (FTP, phpMyAdmin, Cron, AutoSSL)</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Production mutualisée : file / file / sync (aucun worker ni Redis) ; database ou redis si un worker traite la file</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Laissée vide : authentification par jeton Bearer, sans cookie inter-domaines</w:t>
            </w:r>
          </w:p>
        </w:tc>
      </w:tr>
      <w:tr>
        <w:tc>
          <w:tcPr>
            <w:tcW w:type="dxa" w:w="4082"/>
          </w:tcPr>
          <w:p>
            <w:r/>
            <w:r>
              <w:rPr>
                <w:b w:val="0"/>
                <w:sz w:val="19"/>
              </w:rPr>
              <w:t>FRONTEND_URL / CORS_ALLOWED_ORIGINS</w:t>
            </w:r>
          </w:p>
        </w:tc>
        <w:tc>
          <w:tcPr>
            <w:tcW w:type="dxa" w:w="5443"/>
          </w:tcPr>
          <w:p>
            <w:r/>
            <w:r>
              <w:rPr>
                <w:b w:val="0"/>
                <w:sz w:val="19"/>
              </w:rPr>
              <w:t>Racine du SPA (liens des e-mails de réinitialisation) / origine autorisée</w:t>
            </w:r>
          </w:p>
        </w:tc>
      </w:tr>
      <w:tr>
        <w:tc>
          <w:tcPr>
            <w:tcW w:type="dxa" w:w="4082"/>
          </w:tcPr>
          <w:p>
            <w:r/>
            <w:r>
              <w:rPr>
                <w:b w:val="0"/>
                <w:sz w:val="19"/>
              </w:rPr>
              <w:t>MTN_COMPTE / PAIEMENT_ASYNC_SEUIL</w:t>
            </w:r>
          </w:p>
        </w:tc>
        <w:tc>
          <w:tcPr>
            <w:tcW w:type="dxa" w:w="5443"/>
          </w:tcPr>
          <w:p>
            <w:r/>
            <w:r>
              <w:rPr>
                <w:b w:val="0"/>
                <w:sz w:val="19"/>
              </w:rPr>
              <w:t>Compte payeur de l'en-tête MTN (HDR) / seuil de bascule en file (50)</w:t>
            </w:r>
          </w:p>
        </w:tc>
      </w:tr>
      <w:tr>
        <w:tc>
          <w:tcPr>
            <w:tcW w:type="dxa" w:w="4082"/>
          </w:tcPr>
          <w:p>
            <w:r/>
            <w:r>
              <w:rPr>
                <w:b w:val="0"/>
                <w:sz w:val="19"/>
              </w:rPr>
              <w:t>WORKFLOW_SEPARATION_TACHES</w:t>
            </w:r>
          </w:p>
        </w:tc>
        <w:tc>
          <w:tcPr>
            <w:tcW w:type="dxa" w:w="5443"/>
          </w:tcPr>
          <w:p>
            <w:r/>
            <w:r>
              <w:rPr>
                <w:b w:val="0"/>
                <w:sz w:val="19"/>
              </w:rPr>
              <w:t>Séparation des tâches du circuit (true par défaut)</w:t>
            </w:r>
          </w:p>
        </w:tc>
      </w:tr>
      <w:tr>
        <w:tc>
          <w:tcPr>
            <w:tcW w:type="dxa" w:w="4082"/>
          </w:tcPr>
          <w:p>
            <w:r/>
            <w:r>
              <w:rPr>
                <w:b w:val="0"/>
                <w:sz w:val="19"/>
              </w:rPr>
              <w:t>CONTROLEUR_* / DAF_* / DG_*</w:t>
            </w:r>
          </w:p>
        </w:tc>
        <w:tc>
          <w:tcPr>
            <w:tcW w:type="dxa" w:w="5443"/>
          </w:tcPr>
          <w:p>
            <w:r/>
            <w:r>
              <w:rPr>
                <w:b w:val="0"/>
                <w:sz w:val="19"/>
              </w:rPr>
              <w:t>Comptes nominatifs créés par ComptesCircuitSeeder (NAME, EMAIL, FONCTION)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w:t>
            </w:r>
          </w:p>
          <w:p>
            <w:r>
              <w:rPr>
                <w:rFonts w:ascii="Consolas" w:hAnsi="Consolas"/>
                <w:color w:val="FFFFFF"/>
                <w:sz w:val="18"/>
              </w:rPr>
              <w:t>php artisan queue:work --queue=paiements,etats,default --tries=3   # worker (si QUEUE_CONNECTION ≠ sync)</w:t>
            </w:r>
          </w:p>
          <w:p>
            <w:r>
              <w:rPr>
                <w:rFonts w:ascii="Consolas" w:hAnsi="Consolas"/>
                <w:color w:val="FFFFFF"/>
                <w:sz w:val="18"/>
              </w:rPr>
              <w:t>#   Cron mutualisé (QUEUE_CONNECTION=database) : même ligne + --stop-when-empty, chaque minute</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install &amp;&amp; npm run build</w:t>
            </w:r>
          </w:p>
          <w:p>
            <w:r>
              <w:rPr>
                <w:rFonts w:ascii="Consolas" w:hAnsi="Consolas"/>
                <w:color w:val="FFFFFF"/>
                <w:sz w:val="18"/>
              </w:rPr>
            </w:r>
          </w:p>
          <w:p>
            <w:r>
              <w:rPr>
                <w:rFonts w:ascii="Consolas" w:hAnsi="Consolas"/>
                <w:color w:val="FFFFFF"/>
                <w:sz w:val="18"/>
              </w:rPr>
              <w:t># Windows : environnement de dev complet (API, worker, Vite)</w:t>
            </w:r>
          </w:p>
          <w:p>
            <w:r>
              <w:rPr>
                <w:rFonts w:ascii="Consolas" w:hAnsi="Consolas"/>
                <w:color w:val="FFFFFF"/>
                <w:sz w:val="18"/>
              </w:rPr>
              <w:t>.\start-dev.ps1 [-Install -Fresh]   /   .\stop-dev.ps1</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r>
        <w:rPr>
          <w:b w:val="0"/>
          <w:i w:val="0"/>
        </w:rPr>
        <w:t>En production, les signataires du circuit se créent par php artisan db:seed --class=ComptesCircuitSeeder --force : mot de passe temporaire affiché une seule fois, changement imposé à la première connexion. Le seeder ne réinitialise aucun mot de passe et ne rétrograde jamais un super administrateur.</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8.4.x 64 bits obligatoire, ni 8.3 ni 8.5). Les correctifs n° 17 à 32 ne portent que sur le code : aucune autre migration, vendor/ inchangé, SPA à redéployer.</w:t>
      </w:r>
    </w:p>
    <w:p>
      <w:pPr>
        <w:pStyle w:val="ListBullet"/>
      </w:pPr>
      <w:r>
        <w:t>Tester une restauration (db:restore) sur un environnement de recette MySQL avant la production.</w:t>
      </w:r>
    </w:p>
    <w:p>
      <w:pPr>
        <w:pStyle w:val="ListBullet"/>
      </w:pPr>
      <w:r>
        <w:t>Après la mise à jour, vider storage/app/private/ordres/ : un OM sans état ni amendement garde la même clé de cache et son ancien PDF afficherait le taux journalier transport compris. Les PDF se régénèrent à la demande.</w:t>
      </w:r>
    </w:p>
    <w:p>
      <w:pPr>
        <w:pStyle w:val="ListBullet"/>
      </w:pPr>
      <w:r>
        <w:t>Supprimer sur le serveur app/Http/Requests/StoreOrdreMissionRequest.php et UpdateOrdreMissionRequest.php : un envoi FTP n'efface pas les fichiers retirés du dépôt.</w:t>
      </w:r>
    </w:p>
    <w:p>
      <w:pPr>
        <w:pStyle w:val="ListBullet"/>
      </w:pPr>
      <w:r>
        <w:t>Si la file passe en QUEUE_CONNECTION=database : la tâche Cron queue:work doit nommer les trois files (--queue=paiements,etats,default), sinon les gros lots restent INTROUVABLE.</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129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589 tests au total (68 fichiers)</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w:t>
            </w:r>
          </w:p>
        </w:tc>
        <w:tc>
          <w:tcPr>
            <w:tcW w:type="dxa" w:w="1587"/>
          </w:tcPr>
          <w:p>
            <w:r/>
            <w:r>
              <w:rPr>
                <w:b w:val="0"/>
                <w:sz w:val="19"/>
              </w:rPr>
              <w:t>123 tests</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OpenApiTest (openapi.yaml ↔ routes ↔ permissions) et navigation.spec.ts (menu ↔ routes ↔ API cohérents).</w:t>
      </w:r>
    </w:p>
    <w:p>
      <w:pPr>
        <w:pStyle w:val="ListBullet"/>
      </w:pPr>
      <w:r>
        <w:t>Recette sur l'API réelle (23/10/2026, base SQLite neuve, QUEUE_CONNECTION=sync) : 83/83 contrôles conformes ; scénario de démonstration (docs/SCENARIO-DEMO.md) rejoué, conforme. Le 25/10, réponses réelles de l'API confrontées aux schémas d'openapi.yaml (openapi-core) : conformes après le n° 32.</w:t>
      </w:r>
    </w:p>
    <w:p>
      <w:pPr>
        <w:pStyle w:val="ListBullet"/>
      </w:pPr>
      <w:r>
        <w:t>Défauts relevés par la revue d'octobre 2026 : 32, tous corrigés avec un test vu en échec sans le correctif (index : CHANGELOG.md ; détail : docs/revue-projet-2026-10.md §3). Points ouverts : §7 du rapport.</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Vitest + type-check, Playwright, build dist.</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