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1.3.0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(fichiers de paiement, états). Déploiement : WampServer ou Docker Compose (dev) ; serveur Linux + Nginx (prod).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3.x (Composition API)</w:t>
            </w:r>
          </w:p>
        </w:tc>
        <w:tc>
          <w:tcPr>
            <w:tcW w:type="dxa" w:w="4649"/>
          </w:tcPr>
          <w:p>
            <w:r/>
            <w:r>
              <w:rPr>
                <w:b w:val="0"/>
                <w:sz w:val="19"/>
              </w:rPr>
              <w:t>Framework JavaScript principal</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VuePDF</w:t>
            </w:r>
          </w:p>
        </w:tc>
        <w:tc>
          <w:tcPr>
            <w:tcW w:type="dxa" w:w="2268"/>
          </w:tcPr>
          <w:p>
            <w:r/>
            <w:r>
              <w:rPr>
                <w:b w:val="0"/>
                <w:sz w:val="19"/>
              </w:rPr>
              <w:t>—</w:t>
            </w:r>
          </w:p>
        </w:tc>
        <w:tc>
          <w:tcPr>
            <w:tcW w:type="dxa" w:w="4649"/>
          </w:tcPr>
          <w:p>
            <w:r/>
            <w:r>
              <w:rPr>
                <w:b w:val="0"/>
                <w:sz w:val="19"/>
              </w:rPr>
              <w:t>Aperçu PDF dans le navigateur</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w:t>
            </w:r>
          </w:p>
        </w:tc>
        <w:tc>
          <w:tcPr>
            <w:tcW w:type="dxa" w:w="4195"/>
          </w:tcPr>
          <w:p>
            <w:r/>
            <w:r>
              <w:rPr>
                <w:b w:val="0"/>
                <w:sz w:val="19"/>
              </w:rPr>
              <w:t>Langage backend (minimum imposé par composer.lock : Symfony 8)</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missions, notifications)</w:t>
            </w:r>
          </w:p>
          <w:p>
            <w:r>
              <w:rPr>
                <w:rFonts w:ascii="Consolas" w:hAnsi="Consolas"/>
                <w:color w:val="FFFFFF"/>
                <w:sz w:val="18"/>
              </w:rPr>
              <w:t xml:space="preserve">    src/composables/       Logique réutilisable (useApi, useAuth, useMissions...)</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(génération de lots, états)</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soldé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et clique « Aperçu/Télécharger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un trop-perçu est déjà RECOUVRE.</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à l'agent financier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(cf. §4.6).</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route /api/* non authentifiée répond 401 JSON, même sans en-tête Accept (aucune redirection vers une page de login).</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w:t>
            </w:r>
          </w:p>
        </w:tc>
        <w:tc>
          <w:tcPr>
            <w:tcW w:type="dxa" w:w="2948"/>
          </w:tcPr>
          <w:p>
            <w:r/>
            <w:r>
              <w:rPr>
                <w:b w:val="0"/>
                <w:sz w:val="19"/>
              </w:rPr>
              <w:t>Introuvable</w:t>
            </w:r>
          </w:p>
        </w:tc>
        <w:tc>
          <w:tcPr>
            <w:tcW w:type="dxa" w:w="4762"/>
          </w:tcPr>
          <w:p>
            <w:r/>
            <w:r>
              <w:rPr>
                <w:b w:val="0"/>
                <w:sz w:val="19"/>
              </w:rPr>
              <w:t>Ressource inexistante</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ou Docker Compose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Usage opérationnel ANaTT</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 database » pour fonctionner sans Redis</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Domaines SPA autorisés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--queue=paiements,etats,default --tries=3   # générations asynchrones</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Docker (alternative dev)</w:t>
            </w:r>
          </w:p>
          <w:p>
            <w:r>
              <w:rPr>
                <w:rFonts w:ascii="Consolas" w:hAnsi="Consolas"/>
                <w:color w:val="FFFFFF"/>
                <w:sz w:val="18"/>
              </w:rPr>
              <w:t>docker-compose up -d</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 obligatoire).</w:t>
      </w:r>
    </w:p>
    <w:p>
      <w:pPr>
        <w:pStyle w:val="ListBullet"/>
      </w:pPr>
      <w:r>
        <w:t>Tester une restauration (db:restore) sur un environnement de recette MySQL avant la production.</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 130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570 tests au total (68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113 tests / 26 fichiers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et navigation.spec.ts (menu ↔ routes ↔ API cohérents).</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