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1.3.0  •  Septembre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pPr>
      <w:r>
        <w:t>SEMO émet les ordres de mission (hors application).</w:t>
      </w:r>
    </w:p>
    <w:p>
      <w:pPr>
        <w:pStyle w:val="ListNumber"/>
      </w:pPr>
      <w:r>
        <w:t>Un gestionnaire retranscrit les OM dans l'application, regroupés par mission.</w:t>
      </w:r>
    </w:p>
    <w:p>
      <w:pPr>
        <w:pStyle w:val="ListNumber"/>
      </w:pPr>
      <w:r>
        <w:t>Le système calcule le per diem (catégorie × zone × type de prise en charge × nombre de jours).</w:t>
      </w:r>
    </w:p>
    <w:p>
      <w:pPr>
        <w:pStyle w:val="ListNumber"/>
      </w:pPr>
      <w:r>
        <w:t>Le gestionnaire établit le récapitulatif de l'ÉTAT DES AVANCES (brouillon).</w:t>
      </w:r>
    </w:p>
    <w:p>
      <w:pPr>
        <w:pStyle w:val="ListNumber"/>
      </w:pPr>
      <w:r>
        <w:t>Contrôleur → visa DAF → validation DG sur l'état des avances.</w:t>
      </w:r>
    </w:p>
    <w:p>
      <w:pPr>
        <w:pStyle w:val="ListNumber"/>
      </w:pPr>
      <w:r>
        <w:t>La validation du DG arrête l'état des avances, rend les OM VALIDE et ouvre les fichiers d'AVANCE.</w:t>
      </w:r>
    </w:p>
    <w:p>
      <w:pPr>
        <w:pStyle w:val="ListNumber"/>
      </w:pPr>
      <w:r>
        <w:t>L'agent financier génère et dépose les fichiers d'avance (.txt MTN / .xlsx Moov), puis les confirme.</w:t>
      </w:r>
    </w:p>
    <w:p>
      <w:pPr>
        <w:pStyle w:val="ListNumber"/>
      </w:pPr>
      <w:r>
        <w:t>Une fois l'état des avances validé, le gestionnaire établit l'ÉTAT DES RELIQUATS, qui suit le même circuit.</w:t>
      </w:r>
    </w:p>
    <w:p>
      <w:pPr>
        <w:pStyle w:val="ListNumbe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pPr>
      <w:r>
        <w:t>Ouvrez l'application dans votre navigateur.</w:t>
      </w:r>
    </w:p>
    <w:p>
      <w:pPr>
        <w:pStyle w:val="ListNumber"/>
      </w:pPr>
      <w:r>
        <w:t>Saisissez votre adresse e-mail professionnelle et votre mot de passe.</w:t>
      </w:r>
    </w:p>
    <w:p>
      <w:pPr>
        <w:pStyle w:val="ListNumbe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pPr>
      <w:r>
        <w:t>Sur l'écran de connexion, cliquez sur « Mot de passe oublié ? ».</w:t>
      </w:r>
    </w:p>
    <w:p>
      <w:pPr>
        <w:pStyle w:val="ListNumber"/>
      </w:pPr>
      <w:r>
        <w:t>Saisissez votre e-mail. Un lien de réinitialisation vous est envoyé (si le compte existe).</w:t>
      </w:r>
    </w:p>
    <w:p>
      <w:pPr>
        <w:pStyle w:val="ListNumbe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pPr>
      <w:r>
        <w:t>Saisissez votre mot de passe actuel (temporaire).</w:t>
      </w:r>
    </w:p>
    <w:p>
      <w:pPr>
        <w:pStyle w:val="ListNumber"/>
      </w:pPr>
      <w:r>
        <w:t>Choisissez un nouveau mot de passe : au moins 12 caractères, avec majuscules, minuscules, chiffres et symboles.</w:t>
      </w:r>
    </w:p>
    <w:p>
      <w:pPr>
        <w:pStyle w:val="ListNumbe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(ORDRE_1/2/3),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pPr>
      <w:r>
        <w:t>Cliquez sur « Nouvel agent » (ou « Modifier » depuis une fiche).</w:t>
      </w:r>
    </w:p>
    <w:p>
      <w:pPr>
        <w:pStyle w:val="ListNumber"/>
      </w:pPr>
      <w:r>
        <w:t>Renseignez l'identité, le matricule, l'indice ou le salaire brut (la catégorie en est déduite).</w:t>
      </w:r>
    </w:p>
    <w:p>
      <w:pPr>
        <w:pStyle w:val="ListNumber"/>
      </w:pPr>
      <w:r>
        <w:t>Saisissez le téléphone (10 chiffres, commençant par 01) et l'opérateur cohérent avec le numéro.</w:t>
      </w:r>
    </w:p>
    <w:p>
      <w:pPr>
        <w:pStyle w:val="ListNumber"/>
      </w:pPr>
      <w:r>
        <w:t>Enregistrez. La catégorie ORDRE_1/2/3 est calculée automatiquement.</w:t>
      </w:r>
    </w:p>
    <w:p>
      <w:pPr>
        <w:pStyle w:val="Heading2"/>
      </w:pPr>
      <w:r>
        <w:t>5.3 Importer des agents (Excel / CSV)</w:t>
      </w:r>
    </w:p>
    <w:p>
      <w:pPr>
        <w:pStyle w:val="ListNumber"/>
      </w:pPr>
      <w:r>
        <w:t>Ouvrez « Import » dans le module Personnel.</w:t>
      </w:r>
    </w:p>
    <w:p>
      <w:pPr>
        <w:pStyle w:val="ListNumber"/>
      </w:pPr>
      <w:r>
        <w:t>Déposez votre fichier Excel/CSV et lancez la prévisualisation.</w:t>
      </w:r>
    </w:p>
    <w:p>
      <w:pPr>
        <w:pStyle w:val="ListNumber"/>
      </w:pPr>
      <w:r>
        <w:t>Consultez le rapport de contrôle : chaque ligne est vérifiée (unicité du matricule et du téléphone, cohérence numéro/opérateur).</w:t>
      </w:r>
    </w:p>
    <w:p>
      <w:pPr>
        <w:pStyle w:val="ListNumbe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Téléchargement du brouillon de l'OM et consultation de son journal d'audit.</w:t>
      </w:r>
    </w:p>
    <w:p>
      <w:r>
        <w:rPr>
          <w:b w:val="0"/>
          <w:i w:val="0"/>
        </w:rPr>
        <w:t>La validation des ordres de mission ne se fait pas un par un : elle se joue sur l'état de paiement de la mission (chapitre 7). Le présent chapitre s'arrête donc à la retranscription et à la consultation.</w:t>
      </w:r>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pPr>
      <w:r>
        <w:t>Depuis la fiche de l'OM, cliquez sur « Amender ».</w:t>
      </w:r>
    </w:p>
    <w:p>
      <w:pPr>
        <w:pStyle w:val="ListNumber"/>
      </w:pPr>
      <w:r>
        <w:t>Saisissez le nouveau nombre de jours (ou la nouvelle répartition) et un motif obligatoire (≥ 10 caractères).</w:t>
      </w:r>
    </w:p>
    <w:p>
      <w:pPr>
        <w:pStyle w:val="ListNumbe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 il est tracé au journal d'audit.</w:t>
      </w:r>
    </w:p>
    <w:p>
      <w:pPr>
        <w:pStyle w:val="ListBullet"/>
      </w:pPr>
      <w:r>
        <w:t>L'amendement est refusé si l'OM est rejeté ou annulé, si un état de tranche est en cours de signature (contrôle / visa en cours), si l'état des reliquats est déjà validé, ou si un trop-perçu de l'OM a déjà été recouvré.</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tous les OM de la mission au statut VALIDE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pPr>
      <w:r>
        <w:t>Ouvrez « Paiements MTN » ou « Paiements Moov ».</w:t>
      </w:r>
    </w:p>
    <w:p>
      <w:pPr>
        <w:pStyle w:val="ListNumber"/>
      </w:pPr>
      <w:r>
        <w:t>Sélectionnez la mission, la tranche (AVANCE ou RELIQUAT) et l'opérateur.</w:t>
      </w:r>
    </w:p>
    <w:p>
      <w:pPr>
        <w:pStyle w:val="ListNumber"/>
      </w:pPr>
      <w:r>
        <w:t>Cliquez sur « Prévisualiser » : la liste des bénéficiaires éligibles s'affiche.</w:t>
      </w:r>
    </w:p>
    <w:p>
      <w:pPr>
        <w:pStyle w:val="ListNumber"/>
      </w:pPr>
      <w:r>
        <w:t>Cliquez sur « Générer » : le fichier (.txt pour MTN, .xlsx pour Moov) est téléchargé. Le lot passe au statut GÉNÉRÉ.</w:t>
      </w:r>
    </w:p>
    <w:p>
      <w:r>
        <w:rPr>
          <w:b w:val="0"/>
          <w:i w:val="0"/>
        </w:rPr>
        <w:t>Pour un volume important, la génération se fait en arrière-plan ; un suivi vous informe lorsque le fichier est prêt.</w:t>
      </w:r>
    </w:p>
    <w:p>
      <w:pPr>
        <w:pStyle w:val="Heading2"/>
      </w:pPr>
      <w:r>
        <w:t>9.2 Déposer puis confirmer</w:t>
      </w:r>
    </w:p>
    <w:p>
      <w:pPr>
        <w:pStyle w:val="ListNumber"/>
      </w:pPr>
      <w:r>
        <w:t>Déposez le fichier généré sur la plateforme de l'opérateur (hors application).</w:t>
      </w:r>
    </w:p>
    <w:p>
      <w:pPr>
        <w:pStyle w:val="ListNumber"/>
      </w:pPr>
      <w:r>
        <w:t>Une fois le dépôt réussi, revenez dans l'application et cliquez sur « Confirmer » pour le lot.</w:t>
      </w:r>
    </w:p>
    <w:p>
      <w:pPr>
        <w:pStyle w:val="ListNumbe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w:t>
      </w:r>
    </w:p>
    <w:p>
      <w:pPr>
        <w:pStyle w:val="ListBullet"/>
      </w:pPr>
      <w:r>
        <w:t>Seul un lot au statut GÉNÉRÉ peut être confirmé : un lot en erreur doit d'abord être régénéré (on ne confirme jamais un fichier invalidé), et un lot confirmé est définitif.</w:t>
      </w:r>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pPr>
      <w:r>
        <w:t>Ouvrez « Régularisations » : la liste des trop-perçus (à recouvrer / recouvrés) s'affiche, filtrable et paginée.</w:t>
      </w:r>
    </w:p>
    <w:p>
      <w:pPr>
        <w:pStyle w:val="ListNumber"/>
      </w:pPr>
      <w:r>
        <w:t>Téléchargez le « document de retenue sur salaire » (PDF) à remettre à la RH ; il porte le montant à retenir, en chiffres et en toutes lettres.</w:t>
      </w:r>
    </w:p>
    <w:p>
      <w:pPr>
        <w:pStyle w:val="ListNumber"/>
      </w:pPr>
      <w:r>
        <w:t>Une fois la retenue appliquée par la RH, cliquez sur « Constater le recouvrement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accessible à tous les profils internes (« Barème — consulter »).</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w:t>
      </w:r>
    </w:p>
    <w:p>
      <w:pPr>
        <w:pStyle w:val="ListBullet"/>
      </w:pPr>
      <w:r>
        <w:t>Configuration e-mail (SMTP) : le mot de passe est stocké chiffré et n'est jamais réaffiché en clair.</w:t>
      </w:r>
    </w:p>
    <w:p>
      <w:pPr>
        <w:pStyle w:val="ListBullet"/>
      </w:pPr>
      <w:r>
        <w:t>Sauvegardes : création et gestion des sauvegardes de la base de données.</w:t>
      </w:r>
    </w:p>
    <w:p>
      <w:r>
        <w:br w:type="page"/>
      </w:r>
    </w:p>
    <w:p>
      <w:pPr>
        <w:pStyle w:val="Heading1"/>
      </w:pPr>
      <w:r>
        <w:t>Annexe A — Statuts</w:t>
      </w:r>
    </w:p>
    <w:p>
      <w:pPr>
        <w:pStyle w:val="Heading2"/>
      </w:pPr>
      <w:r>
        <w:t>État de paiement (un par tranche : avances puis reliquats)</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w:t>
            </w:r>
          </w:p>
        </w:tc>
      </w:tr>
      <w:tr>
        <w:tc>
          <w:tcPr>
            <w:tcW w:type="dxa" w:w="2268"/>
          </w:tcPr>
          <w:p>
            <w:r/>
            <w:r>
              <w:rPr>
                <w:b w:val="0"/>
                <w:sz w:val="20"/>
              </w:rPr>
              <w:t>SOLDE</w:t>
            </w:r>
          </w:p>
        </w:tc>
        <w:tc>
          <w:tcPr>
            <w:tcW w:type="dxa" w:w="7257"/>
          </w:tcPr>
          <w:p>
            <w:r/>
            <w:r>
              <w:rPr>
                <w:b w:val="0"/>
                <w:sz w:val="20"/>
              </w:rPr>
              <w:t>Tous les versements de l'OM ont été confirmés (ou OM exonéré).</w:t>
            </w:r>
          </w:p>
        </w:tc>
      </w:tr>
    </w:tbl>
    <w:p/>
    <w:p>
      <w:pPr>
        <w:pStyle w:val="Heading2"/>
      </w:pPr>
      <w:r>
        <w:t>Versement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ORDRE_1</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ORDRE_2</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ORDRE_3</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ORDRE_2</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ORDRE_3</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ORDRE_2</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ORDRE_3</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