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ou si un trop-perçu de l'OM a déjà été recouvré.</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(lien « PDF de l'OM » en haut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