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(26-27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reste en 3.6.0-beta.9.</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écran Maintenance sur 503 ; Pest 599, Vitest 135.</w:t>
            </w:r>
          </w:p>
        </w:tc>
        <w:tc>
          <w:tcPr>
            <w:tcW w:type="dxa" w:w="1474"/>
          </w:tcPr>
          <w:p>
            <w:r/>
            <w:r>
              <w:rPr>
                <w:b w:val="0"/>
                <w:sz w:val="19"/>
              </w:rPr>
              <w:t>§10</w:t>
            </w:r>
          </w:p>
        </w:tc>
      </w:tr>
      <w:tr>
        <w:tc>
          <w:tcPr>
            <w:tcW w:type="dxa" w:w="2041"/>
          </w:tcPr>
          <w:p>
            <w:r/>
            <w:r>
              <w:rPr>
                <w:b w:val="0"/>
                <w:sz w:val="19"/>
              </w:rPr>
              <w:t>Part de la mission (27/10)</w:t>
            </w:r>
          </w:p>
        </w:tc>
        <w:tc>
          <w:tcPr>
            <w:tcW w:type="dxa" w:w="6009"/>
          </w:tcPr>
          <w:p>
            <w:r/>
            <w:r>
              <w:rPr>
                <w:b w:val="0"/>
                <w:sz w:val="19"/>
              </w:rPr>
              <w:t>Mission::partAvanceReelle (Σ avances / Σ montants des OM, hors rejetés, annulés et amendés à avance engagée), exposée en part_avance (état, récapitulatif, aperçu d'un lot) : l'écran de l'état et le choix de la tranche affichent la part des OM, pas le réglage du jour. Chaîne des montants vérifiée à 55 %.</w:t>
            </w:r>
          </w:p>
        </w:tc>
        <w:tc>
          <w:tcPr>
            <w:tcW w:type="dxa" w:w="1474"/>
          </w:tcPr>
          <w:p>
            <w:r/>
            <w:r>
              <w:rPr>
                <w:b w:val="0"/>
                <w:sz w:val="19"/>
              </w:rPr>
              <w:t>§5</w:t>
            </w:r>
          </w:p>
        </w:tc>
      </w:tr>
      <w:tr>
        <w:tc>
          <w:tcPr>
            <w:tcW w:type="dxa" w:w="2041"/>
          </w:tcPr>
          <w:p>
            <w:r/>
            <w:r>
              <w:rPr>
                <w:b w:val="0"/>
                <w:sz w:val="19"/>
              </w:rPr>
              <w:t>Réglages de Paramètres (28/10)</w:t>
            </w:r>
          </w:p>
        </w:tc>
        <w:tc>
          <w:tcPr>
            <w:tcW w:type="dxa" w:w="6009"/>
          </w:tcPr>
          <w:p>
            <w:r/>
            <w:r>
              <w:rPr>
                <w:b w:val="0"/>
                <w:sz w:val="19"/>
              </w:rPr>
              <w:t>Appliqués par le serveur (App\Support\Parametres, cache 60 s, absents = comportement d'avant, 422 hors domaine) : opérateurs MTN / Moov (génération refusée), tentatives de connexion (limiteur login), durée de session (callback Sanctum, remplace SANCTUM_EXPIRATION), HTTPS forcé (middleware ForcerHttps), connexions échouées journalisées (LOGIN_ECHEC), mode maintenance (middleware MaintenanceApplication : 503 sauf SUPER_ADMIN), notifications par type, nom de l'application (route publique GET /admin/parametres/application, titre de l'onglet, objet des e-mails).</w:t>
            </w:r>
          </w:p>
        </w:tc>
        <w:tc>
          <w:tcPr>
            <w:tcW w:type="dxa" w:w="1474"/>
          </w:tcPr>
          <w:p>
            <w:r/>
            <w:r>
              <w:rPr>
                <w:b w:val="0"/>
                <w:sz w:val="19"/>
              </w:rPr>
              <w:t>§6, §7</w:t>
            </w:r>
          </w:p>
        </w:tc>
      </w:tr>
      <w:tr>
        <w:tc>
          <w:tcPr>
            <w:tcW w:type="dxa" w:w="2041"/>
          </w:tcPr>
          <w:p>
            <w:r/>
            <w:r>
              <w:rPr>
                <w:b w:val="0"/>
                <w:sz w:val="19"/>
              </w:rPr>
              <w:t>Contrat d'API (28/10)</w:t>
            </w:r>
          </w:p>
        </w:tc>
        <w:tc>
          <w:tcPr>
            <w:tcW w:type="dxa" w:w="6009"/>
          </w:tcPr>
          <w:p>
            <w:r/>
            <w:r>
              <w:rPr>
                <w:b w:val="0"/>
                <w:sz w:val="19"/>
              </w:rPr>
              <w:t>OpenApiReponsesTest : réponses réelles d'une trentaine de routes validées contre openapi.yaml en mode strict (validateur tests/Support/OpenApiSchema.php, sans dépendance) ; openapi.yaml complété (pagination, régularisations, LignePerDiem, Signataire, enveloppe message).</w:t>
            </w:r>
          </w:p>
        </w:tc>
        <w:tc>
          <w:tcPr>
            <w:tcW w:type="dxa" w:w="1474"/>
          </w:tcPr>
          <w:p>
            <w:r/>
            <w:r>
              <w:rPr>
                <w:b w:val="0"/>
                <w:sz w:val="19"/>
              </w:rPr>
              <w:t>§7, §10</w:t>
            </w:r>
          </w:p>
        </w:tc>
      </w:tr>
      <w:tr>
        <w:tc>
          <w:tcPr>
            <w:tcW w:type="dxa" w:w="2041"/>
          </w:tcPr>
          <w:p>
            <w:r/>
            <w:r>
              <w:rPr>
                <w:b w:val="0"/>
                <w:sz w:val="19"/>
              </w:rPr>
              <w:t>Tests (28/10)</w:t>
            </w:r>
          </w:p>
        </w:tc>
        <w:tc>
          <w:tcPr>
            <w:tcW w:type="dxa" w:w="6009"/>
          </w:tcPr>
          <w:p>
            <w:r/>
            <w:r>
              <w:rPr>
                <w:b w:val="0"/>
                <w:sz w:val="19"/>
              </w:rPr>
              <w:t>45 tests des écrans critiques (saisie de mission, état, signatures, matrice des permissions) ; agent en double signalé dès la saisie ; message français sur un 429. Pest 652, Vitest 194.</w:t>
            </w:r>
          </w:p>
        </w:tc>
        <w:tc>
          <w:tcPr>
            <w:tcW w:type="dxa" w:w="1474"/>
          </w:tcPr>
          <w:p>
            <w:r/>
            <w:r>
              <w:rPr>
                <w:b w:val="0"/>
                <w:sz w:val="19"/>
              </w:rPr>
              <w:t>§10</w:t>
            </w:r>
          </w:p>
        </w:tc>
      </w:tr>
      <w:tr>
        <w:tc>
          <w:tcPr>
            <w:tcW w:type="dxa" w:w="2041"/>
          </w:tcPr>
          <w:p>
            <w:r/>
            <w:r>
              <w:rPr>
                <w:b w:val="0"/>
                <w:sz w:val="19"/>
              </w:rPr>
              <w:t>Messagerie (28/10)</w:t>
            </w:r>
          </w:p>
        </w:tc>
        <w:tc>
          <w:tcPr>
            <w:tcW w:type="dxa" w:w="6009"/>
          </w:tcPr>
          <w:p>
            <w:r/>
            <w:r>
              <w:rPr>
                <w:b w:val="0"/>
                <w:sz w:val="19"/>
              </w:rPr>
              <w:t>Configuration SMTP de l'écran Messagerie appliquée à l'envoi (App\Support\Messagerie) : serveur renseigné → remplace le transport du .env, expéditeur renseigné → remplace MAIL_FROM_* ; e-mail de test POST /admin/settings/test-email (422 si l'envoi échoue). Pest 670, Vitest 197.</w:t>
            </w:r>
          </w:p>
        </w:tc>
        <w:tc>
          <w:tcPr>
            <w:tcW w:type="dxa" w:w="1474"/>
          </w:tcPr>
          <w:p>
            <w:r/>
            <w:r>
              <w:rPr>
                <w:b w:val="0"/>
                <w:sz w:val="19"/>
              </w:rPr>
              <w:t>§6, §7</w:t>
            </w:r>
          </w:p>
        </w:tc>
      </w:tr>
      <w:tr>
        <w:tc>
          <w:tcPr>
            <w:tcW w:type="dxa" w:w="2041"/>
          </w:tcPr>
          <w:p>
            <w:r/>
            <w:r>
              <w:rPr>
                <w:b w:val="0"/>
                <w:sz w:val="19"/>
              </w:rPr>
              <w:t>Session (28/10)</w:t>
            </w:r>
          </w:p>
        </w:tc>
        <w:tc>
          <w:tcPr>
            <w:tcW w:type="dxa" w:w="6009"/>
          </w:tcPr>
          <w:p>
            <w:r/>
            <w:r>
              <w:rPr>
                <w:b w:val="0"/>
                <w:sz w:val="19"/>
              </w:rPr>
              <w:t>Une erreur passagère de l'API au rechargement (429, 5xx, réseau) ne déconnecte plus : le jeton est gardé et l'écran d'erreur revient à la page demandée ; seul un 401 met fin à la session. Vitest 205.</w:t>
            </w:r>
          </w:p>
        </w:tc>
        <w:tc>
          <w:tcPr>
            <w:tcW w:type="dxa" w:w="1474"/>
          </w:tcPr>
          <w:p>
            <w:r/>
            <w:r>
              <w:rPr>
                <w:b w:val="0"/>
                <w:sz w:val="19"/>
              </w:rPr>
              <w:t>§6</w:t>
            </w:r>
          </w:p>
        </w:tc>
      </w:tr>
      <w:tr>
        <w:tc>
          <w:tcPr>
            <w:tcW w:type="dxa" w:w="2041"/>
          </w:tcPr>
          <w:p>
            <w:r/>
            <w:r>
              <w:rPr>
                <w:b w:val="0"/>
                <w:sz w:val="19"/>
              </w:rPr>
              <w:t>E-mail en échec (28/10)</w:t>
            </w:r>
          </w:p>
        </w:tc>
        <w:tc>
          <w:tcPr>
            <w:tcW w:type="dxa" w:w="6009"/>
          </w:tcPr>
          <w:p>
            <w:r/>
            <w:r>
              <w:rPr>
                <w:b w:val="0"/>
                <w:sz w:val="19"/>
              </w:rPr>
              <w:t>Un e-mail de notification qui ne part pas (serveur SMTP injoignable) n'est plus relancé par SendNotification : en file sync, la signature ou la validation qui notifie répondait 500 alors que l'opération était enregistrée, et les destinataires suivants n'étaient pas notifiés. Pest 671.</w:t>
            </w:r>
          </w:p>
        </w:tc>
        <w:tc>
          <w:tcPr>
            <w:tcW w:type="dxa" w:w="1474"/>
          </w:tcPr>
          <w:p>
            <w:r/>
            <w:r>
              <w:rPr>
                <w:b w:val="0"/>
                <w:sz w:val="19"/>
              </w:rPr>
              <w:t>§4.2</w:t>
            </w:r>
          </w:p>
        </w:tc>
      </w:tr>
      <w:tr>
        <w:tc>
          <w:tcPr>
            <w:tcW w:type="dxa" w:w="2041"/>
          </w:tcPr>
          <w:p>
            <w:r/>
            <w:r>
              <w:rPr>
                <w:b w:val="0"/>
                <w:sz w:val="19"/>
              </w:rPr>
              <w:t>Messagerie, refus (28/10)</w:t>
            </w:r>
          </w:p>
        </w:tc>
        <w:tc>
          <w:tcPr>
            <w:tcW w:type="dxa" w:w="6009"/>
          </w:tcPr>
          <w:p>
            <w:r/>
            <w:r>
              <w:rPr>
                <w:b w:val="0"/>
                <w:sz w:val="19"/>
              </w:rPr>
              <w:t>L'écran Messagerie affiche le motif d'un refus 422 (champ errors : port invalide, message du serveur SMTP) et non plus le message générique « Donnees invalides. ». Scénario de démo complété (§8.6 messagerie, §8.7 maintenance), rejoué sur l'API réelle.</w:t>
            </w:r>
          </w:p>
        </w:tc>
        <w:tc>
          <w:tcPr>
            <w:tcW w:type="dxa" w:w="1474"/>
          </w:tcPr>
          <w:p>
            <w:r/>
            <w:r>
              <w:rPr>
                <w:b w:val="0"/>
                <w:sz w:val="19"/>
              </w:rPr>
              <w:t>§7.6, §10</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3.6 bêta (Composition API)</w:t>
            </w:r>
          </w:p>
        </w:tc>
        <w:tc>
          <w:tcPr>
            <w:tcW w:type="dxa" w:w="4649"/>
          </w:tcPr>
          <w:p>
            <w:r/>
            <w:r>
              <w:rPr>
                <w:b w:val="0"/>
                <w:sz w:val="19"/>
              </w:rPr>
              <w:t>Framework JavaScript principal — version figée par package-lock.json (3.6.0-beta.9)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r>
        <w:rPr>
          <w:b w:val="0"/>
          <w:i w:val="0"/>
        </w:rPr>
        <w:t>Session restaurée au rechargement d'une page (stores/auth.ts → fetchUser, garde du routeur) : seul un 401 (jeton expiré ou révoqué) y met fin. Une erreur passagère de /auth/me (429, 5xx, réseau) garde le jeton et ouvre l'écran 500, dont « Réessayer » revient à la page demandée (chemin interne seulement) ; un 503 ouvre l'écran Maintenance. Avant le 28/10, toute erreur déconnectait et révoquait le jeton côté serveur.</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 ; déchiffré seulement au moment d'envoyer (App\Support\Messagerie). Une APP_KEY changée le rend indéchiffrable : il est alors à ressaisir.</w:t>
      </w:r>
    </w:p>
    <w:p>
      <w:pPr>
        <w:pStyle w:val="ListBullet"/>
      </w:pPr>
      <w:r>
        <w:t>Session : seul un 401 met fin à une session restaurée ; une erreur passagère ne révoque plus le jeton (§3.1).</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GET / PUT</w:t>
            </w:r>
          </w:p>
        </w:tc>
        <w:tc>
          <w:tcPr>
            <w:tcW w:type="dxa" w:w="4535"/>
          </w:tcPr>
          <w:p>
            <w:r/>
            <w:r>
              <w:rPr>
                <w:b w:val="0"/>
                <w:sz w:val="19"/>
              </w:rPr>
              <w:t>/api/admin/settings</w:t>
            </w:r>
          </w:p>
        </w:tc>
        <w:tc>
          <w:tcPr>
            <w:tcW w:type="dxa" w:w="3628"/>
          </w:tcPr>
          <w:p>
            <w:r/>
            <w:r>
              <w:rPr>
                <w:b w:val="0"/>
                <w:sz w:val="19"/>
              </w:rPr>
              <w:t>Paramètres système, liste blanche, valeurs validées (422 hors domaine) (parametres.gerer)</w:t>
            </w:r>
          </w:p>
        </w:tc>
      </w:tr>
      <w:tr>
        <w:tc>
          <w:tcPr>
            <w:tcW w:type="dxa" w:w="1361"/>
          </w:tcPr>
          <w:p>
            <w:r/>
            <w:r>
              <w:rPr>
                <w:b w:val="0"/>
                <w:sz w:val="19"/>
              </w:rPr>
              <w:t>POST</w:t>
            </w:r>
          </w:p>
        </w:tc>
        <w:tc>
          <w:tcPr>
            <w:tcW w:type="dxa" w:w="4535"/>
          </w:tcPr>
          <w:p>
            <w:r/>
            <w:r>
              <w:rPr>
                <w:b w:val="0"/>
                <w:sz w:val="19"/>
              </w:rPr>
              <w:t>/api/admin/settings/test-email</w:t>
            </w:r>
          </w:p>
        </w:tc>
        <w:tc>
          <w:tcPr>
            <w:tcW w:type="dxa" w:w="3628"/>
          </w:tcPr>
          <w:p>
            <w:r/>
            <w:r>
              <w:rPr>
                <w:b w:val="0"/>
                <w:sz w:val="19"/>
              </w:rPr>
              <w:t>E-mail de test au compte connecté avec la configuration enregistrée ; 422 (champ smtpHost) avec le message du serveur SMTP en cas d'échec (parametres.gerer)</w:t>
            </w:r>
          </w:p>
        </w:tc>
      </w:tr>
      <w:tr>
        <w:tc>
          <w:tcPr>
            <w:tcW w:type="dxa" w:w="1361"/>
          </w:tcPr>
          <w:p>
            <w:r/>
            <w:r>
              <w:rPr>
                <w:b w:val="0"/>
                <w:sz w:val="19"/>
              </w:rPr>
              <w:t>GET</w:t>
            </w:r>
          </w:p>
        </w:tc>
        <w:tc>
          <w:tcPr>
            <w:tcW w:type="dxa" w:w="4535"/>
          </w:tcPr>
          <w:p>
            <w:r/>
            <w:r>
              <w:rPr>
                <w:b w:val="0"/>
                <w:sz w:val="19"/>
              </w:rPr>
              <w:t>/api/admin/parametres/application</w:t>
            </w:r>
          </w:p>
        </w:tc>
        <w:tc>
          <w:tcPr>
            <w:tcW w:type="dxa" w:w="3628"/>
          </w:tcPr>
          <w:p>
            <w:r/>
            <w:r>
              <w:rPr>
                <w:b w:val="0"/>
                <w:sz w:val="19"/>
              </w:rPr>
              <w:t>Nom de l'application et opérateurs ouverts (lecture publique)</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 Corps : message générique « Donnees invalides. » + errors { champ: [motif] } — l'écran affiche le motif</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r>
        <w:tc>
          <w:tcPr>
            <w:tcW w:type="dxa" w:w="1814"/>
          </w:tcPr>
          <w:p>
            <w:r/>
            <w:r>
              <w:rPr>
                <w:b w:val="0"/>
                <w:sz w:val="19"/>
              </w:rPr>
              <w:t>503</w:t>
            </w:r>
          </w:p>
        </w:tc>
        <w:tc>
          <w:tcPr>
            <w:tcW w:type="dxa" w:w="2948"/>
          </w:tcPr>
          <w:p>
            <w:r/>
            <w:r>
              <w:rPr>
                <w:b w:val="0"/>
                <w:sz w:val="19"/>
              </w:rPr>
              <w:t>Service indisponible</w:t>
            </w:r>
          </w:p>
        </w:tc>
        <w:tc>
          <w:tcPr>
            <w:tcW w:type="dxa" w:w="4762"/>
          </w:tcPr>
          <w:p>
            <w:r/>
            <w:r>
              <w:rPr>
                <w:b w:val="0"/>
                <w:sz w:val="19"/>
              </w:rPr>
              <w:t>artisan down (mise à jour) ou mode maintenance de Paramètres (sauf SUPER_ADMIN) ; le SPA ouvre l'écran Maintenance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 (remplacée par l'écran Messagerie si un serveur y est renseigné)</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garde la bêta Vue figée par le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671 tests au total (75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206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OpenApiReponsesTest (réponses réelles ↔ schémas d'openapi.yaml, mode strict), NotificationModelesEcranTest (utils/notifications.ts ↔ NotificationContenu, utilisé par les écrans e-mail et Paramètres), ReglagesExploitationTest (chaque réglage de Paramètres appliqué)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base SQLite neuve, QUEUE_CONNECTION=sync) : 83/83 contrôles conformes ; scénario de démonstration (docs/SCENARIO-DEMO.md) rejoué, conforme, puis de nouveau le 27/10 en version 1.4 (mêmes fichiers et montants, notifications de chaque signataire). Le 25/10, réponses réelles de l'API confrontées aux schémas d'openapi.yaml (openapi-core) : conformes après le n° 32 ; vérification automatisée en CI depuis le 28/10 (OpenApiReponsesTest). Le 28/10, variantes messagerie et maintenance du scénario rejouées sur l'API réelle (MariaDB, base neuve) : elles ont révélé l'affichage du message générique des 422 à l'écran Messagerie, corrigé.</w:t>
      </w:r>
    </w:p>
    <w:p>
      <w:pPr>
        <w:pStyle w:val="ListBullet"/>
      </w:pPr>
      <w:r>
        <w:t>Défauts relevés par la revue d'octobre 2026 : 32, tous corrigés avec un test vu en échec sans le correctif (index : CHANGELOG.md ; détail : docs/revue-projet-2026-10.md §3).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