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1.2.0  •  Août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11 (backend) → base MySQL. Communication HTTP/HTTPS avec tokens Bearer (Sanctum). Files de travaux (queue) pour les générations volumineuses (fichiers de paiement, états). Déploiement : WampServer ou Docker Compose (dev) ; serveur Linux + Nginx (prod).</w:t>
            </w:r>
          </w:p>
        </w:tc>
      </w:tr>
    </w:tbl>
    <w:p/>
    <w:p>
      <w:pPr>
        <w:pStyle w:val="Heading2"/>
      </w:pPr>
      <w:r>
        <w:t>2.2 Stack technologique</w:t>
      </w:r>
    </w:p>
    <w:p>
      <w:pPr>
        <w:pStyle w:val="Heading3"/>
      </w:pPr>
      <w:r>
        <w:t>2.2.1 Frontend (interface utilisateur)</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5.x</w:t>
            </w:r>
          </w:p>
        </w:tc>
        <w:tc>
          <w:tcPr>
            <w:tcW w:type="dxa" w:w="4649"/>
          </w:tcPr>
          <w:p>
            <w:r/>
            <w:r>
              <w:rPr>
                <w:b w:val="0"/>
                <w:sz w:val="19"/>
              </w:rPr>
              <w:t>Typage statique strict</w:t>
            </w:r>
          </w:p>
        </w:tc>
      </w:tr>
      <w:tr>
        <w:tc>
          <w:tcPr>
            <w:tcW w:type="dxa" w:w="2608"/>
          </w:tcPr>
          <w:p>
            <w:r/>
            <w:r>
              <w:rPr>
                <w:b w:val="0"/>
                <w:sz w:val="19"/>
              </w:rPr>
              <w:t>Vite</w:t>
            </w:r>
          </w:p>
        </w:tc>
        <w:tc>
          <w:tcPr>
            <w:tcW w:type="dxa" w:w="2268"/>
          </w:tcPr>
          <w:p>
            <w:r/>
            <w:r>
              <w:rPr>
                <w:b w:val="0"/>
                <w:sz w:val="19"/>
              </w:rPr>
              <w:t>5.x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2.x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4.x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w:t>
            </w:r>
          </w:p>
        </w:tc>
        <w:tc>
          <w:tcPr>
            <w:tcW w:type="dxa" w:w="4649"/>
          </w:tcPr>
          <w:p>
            <w:r/>
            <w:r>
              <w:rPr>
                <w:b w:val="0"/>
                <w:sz w:val="19"/>
              </w:rPr>
              <w:t>Tests unitaires et d'intégration</w:t>
            </w:r>
          </w:p>
        </w:tc>
      </w:tr>
    </w:tbl>
    <w:p/>
    <w:p>
      <w:pPr>
        <w:pStyle w:val="Heading3"/>
      </w:pPr>
      <w:r>
        <w:t>2.2.2 Backend (API et logique métier)</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11.x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8.3+</w:t>
            </w:r>
          </w:p>
        </w:tc>
        <w:tc>
          <w:tcPr>
            <w:tcW w:type="dxa" w:w="4195"/>
          </w:tcPr>
          <w:p>
            <w:r/>
            <w:r>
              <w:rPr>
                <w:b w:val="0"/>
                <w:sz w:val="19"/>
              </w:rPr>
              <w:t>Langage backend</w:t>
            </w:r>
          </w:p>
        </w:tc>
      </w:tr>
      <w:tr>
        <w:tc>
          <w:tcPr>
            <w:tcW w:type="dxa" w:w="3402"/>
          </w:tcPr>
          <w:p>
            <w:r/>
            <w:r>
              <w:rPr>
                <w:b w:val="0"/>
                <w:sz w:val="19"/>
              </w:rPr>
              <w:t>Laravel Sanctum</w:t>
            </w:r>
          </w:p>
        </w:tc>
        <w:tc>
          <w:tcPr>
            <w:tcW w:type="dxa" w:w="1928"/>
          </w:tcPr>
          <w:p>
            <w:r/>
            <w:r>
              <w:rPr>
                <w:b w:val="0"/>
                <w:sz w:val="19"/>
              </w:rPr>
              <w:t>—</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w:t>
            </w:r>
          </w:p>
        </w:tc>
        <w:tc>
          <w:tcPr>
            <w:tcW w:type="dxa" w:w="1928"/>
          </w:tcPr>
          <w:p>
            <w:r/>
            <w:r>
              <w:rPr>
                <w:b w:val="0"/>
                <w:sz w:val="19"/>
              </w:rPr>
              <w:t>—</w:t>
            </w:r>
          </w:p>
        </w:tc>
        <w:tc>
          <w:tcPr>
            <w:tcW w:type="dxa" w:w="4195"/>
          </w:tcPr>
          <w:p>
            <w:r/>
            <w:r>
              <w:rPr>
                <w:b w:val="0"/>
                <w:sz w:val="19"/>
              </w:rPr>
              <w:t>Génération des PDF (ordres de mission)</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w:t>
            </w:r>
          </w:p>
        </w:tc>
        <w:tc>
          <w:tcPr>
            <w:tcW w:type="dxa" w:w="4195"/>
          </w:tcPr>
          <w:p>
            <w:r/>
            <w:r>
              <w:rPr>
                <w:b w:val="0"/>
                <w:sz w:val="19"/>
              </w:rPr>
              <w:t>Tests (BDD/PHPUnit)</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missions, notifications)</w:t>
            </w:r>
          </w:p>
          <w:p>
            <w:r>
              <w:rPr>
                <w:rFonts w:ascii="Consolas" w:hAnsi="Consolas"/>
                <w:color w:val="FFFFFF"/>
                <w:sz w:val="18"/>
              </w:rPr>
              <w:t xml:space="preserve">    src/composables/       Logique réutilisable (useApi, useAuth, useMissions...)</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11</w:t>
            </w:r>
          </w:p>
          <w:p>
            <w:r>
              <w:rPr>
                <w:rFonts w:ascii="Consolas" w:hAnsi="Consolas"/>
                <w:color w:val="FFFFFF"/>
                <w:sz w:val="18"/>
              </w:rPr>
              <w:t xml:space="preserve">    app/Http/Controllers/Api/  Contrôleurs REST</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app/Jobs/              Tâches asynchrones (génération de lots, états)</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ook w:firstColumn="1" w:firstRow="1" w:lastColumn="0" w:lastRow="0" w:noHBand="0" w:noVBand="1" w:val="04A0"/>
      </w:tblPr>
      <w:tblGrid>
        <w:gridCol w:w="2880"/>
        <w:gridCol w:w="2880"/>
        <w:gridCol w:w="2880"/>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ordres_mission</w:t>
            </w:r>
          </w:p>
        </w:tc>
        <w:tc>
          <w:tcPr>
            <w:tcW w:type="dxa" w:w="5216"/>
          </w:tcPr>
          <w:p>
            <w:r/>
            <w:r>
              <w:rPr>
                <w:b w:val="0"/>
                <w:sz w:val="19"/>
              </w:rPr>
              <w:t>1 enregistrement = 1 bénéficiaire (réf. SEMO unique).</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récapitulatif d'une mission (1 par mission) : circuit +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fichier.</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bl>
    <w:p/>
    <w:p>
      <w:pPr>
        <w:pStyle w:val="Heading3"/>
      </w:pPr>
      <w:r>
        <w:t>2.4.2 Champs clés — OrdreMission</w:t>
      </w:r>
    </w:p>
    <w:tbl>
      <w:tblPr>
        <w:tblStyle w:val="TableGrid"/>
        <w:tblW w:type="auto" w:w="0"/>
        <w:jc w:val="center"/>
        <w:tblLook w:firstColumn="1" w:firstRow="1" w:lastColumn="0" w:lastRow="0" w:noHBand="0" w:noVBand="1" w:val="04A0"/>
      </w:tblPr>
      <w:tblGrid>
        <w:gridCol w:w="2880"/>
        <w:gridCol w:w="2880"/>
        <w:gridCol w:w="2880"/>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ORDRE_1 | ORDRE_2 | ORDRE_3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VERIFIE / VISA_DAF (circuit par OM en option), REJETE / ANNULE possibles.</w:t>
            </w:r>
          </w:p>
        </w:tc>
      </w:tr>
    </w:tbl>
    <w:p/>
    <w:p>
      <w:r>
        <w:rPr>
          <w:b w:val="0"/>
          <w:i/>
          <w:color w:val="4B5563"/>
        </w:rPr>
        <w:t>Le statut de l'OM ne transite pas par le circuit : il reste IMPORTE tout au long de la validation de l'état, et ne passe VALIDE (payable) qu'à la validation finale du DG.</w:t>
      </w:r>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ook w:firstColumn="1" w:firstRow="1" w:lastColumn="0" w:lastRow="0" w:noHBand="0" w:noVBand="1" w:val="04A0"/>
      </w:tblPr>
      <w:tblGrid>
        <w:gridCol w:w="2880"/>
        <w:gridCol w:w="2880"/>
        <w:gridCol w:w="2880"/>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w:t>
            </w:r>
          </w:p>
        </w:tc>
        <w:tc>
          <w:tcPr>
            <w:tcW w:type="dxa" w:w="4082"/>
          </w:tcPr>
          <w:p>
            <w:r/>
            <w:r>
              <w:rPr>
                <w:b w:val="0"/>
                <w:sz w:val="19"/>
              </w:rPr>
              <w:t>Génération fichiers MTN/Moov, confirmation.</w:t>
            </w:r>
          </w:p>
        </w:tc>
      </w:tr>
      <w:tr>
        <w:tc>
          <w:tcPr>
            <w:tcW w:type="dxa" w:w="2381"/>
          </w:tcPr>
          <w:p>
            <w:r/>
            <w:r>
              <w:rPr>
                <w:b w:val="0"/>
                <w:sz w:val="19"/>
              </w:rPr>
              <w:t>Barème per diem</w:t>
            </w:r>
          </w:p>
        </w:tc>
        <w:tc>
          <w:tcPr>
            <w:tcW w:type="dxa" w:w="3061"/>
          </w:tcPr>
          <w:p>
            <w:r/>
            <w:r>
              <w:rPr>
                <w:b w:val="0"/>
                <w:sz w:val="19"/>
              </w:rPr>
              <w:t>Tous (lecture)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ORDRE_1/2/3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w:t>
      </w:r>
    </w:p>
    <w:p>
      <w:pPr>
        <w:pStyle w:val="ListBullet"/>
      </w:pPr>
      <w:r>
        <w:t>Retranscription : assistant mission + N bénéficiaires (participants + CAV), per diem en temps réel.</w:t>
      </w:r>
    </w:p>
    <w:p>
      <w:pPr>
        <w:pStyle w:val="ListBullet"/>
      </w:pPr>
      <w:r>
        <w:t>Détail d'un OM : mission, bénéficiaire, montants, versements ; renvoie vers l'état de la mission (aucune action de circuit sur l'OM). Brouillon PDF de l'OM et historique d'audit.</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les routes /api/ordres/:id/valider|viser|approuver|rejeter subsistent pour corriger une mission dépourvue d'état ; elles sont refusées dès qu'un état existe.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puis régénère.</w:t>
            </w:r>
          </w:p>
        </w:tc>
        <w:tc>
          <w:tcPr>
            <w:tcW w:type="dxa" w:w="3288"/>
          </w:tcPr>
          <w:p>
            <w:r/>
            <w:r>
              <w:rPr>
                <w:b w:val="0"/>
                <w:sz w:val="19"/>
              </w:rPr>
              <w:t>Lot → ERREUR → (régénération) → GENERE avant toute confirmation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w:t>
            </w:r>
          </w:p>
        </w:tc>
      </w:tr>
    </w:tbl>
    <w:p/>
    <w:p>
      <w:pPr>
        <w:pStyle w:val="Heading2"/>
      </w:pPr>
      <w:r>
        <w:t>4.4 Génération de l'ordre de mission en PDF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et clique « Aperçu/Télécharger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Heading2"/>
      </w:pPr>
      <w:r>
        <w:t>4.5 Import en masse des agents (Excel / CSV)</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1"/>
      </w:pPr>
      <w:r>
        <w:t>5. Règles métier</w:t>
      </w:r>
    </w:p>
    <w:p>
      <w:pPr>
        <w:pStyle w:val="Heading2"/>
      </w:pPr>
      <w:r>
        <w:t>5.1 Calcul du per diem</w:t>
      </w:r>
    </w:p>
    <w:p>
      <w:r>
        <w:rPr>
          <w:b/>
          <w:i w:val="0"/>
        </w:rPr>
        <w:t>Montant total = taux journalier (catégorie × zone × type de prise en charge) × nombre de jours.</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aucun versement créé.</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ook w:firstColumn="1" w:firstRow="1" w:lastColumn="0" w:lastRow="0" w:noHBand="0" w:noVBand="1" w:val="04A0"/>
      </w:tblPr>
      <w:tblGrid>
        <w:gridCol w:w="2880"/>
        <w:gridCol w:w="2880"/>
        <w:gridCol w:w="2880"/>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ORDRE_1</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ORDRE_2</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ORDRE_3</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ook w:firstColumn="1" w:firstRow="1" w:lastColumn="0" w:lastRow="0" w:noHBand="0" w:noVBand="1" w:val="04A0"/>
      </w:tblPr>
      <w:tblGrid>
        <w:gridCol w:w="2880"/>
        <w:gridCol w:w="2880"/>
        <w:gridCol w:w="2880"/>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n'est jamais réinclus.</w:t>
            </w:r>
          </w:p>
        </w:tc>
        <w:tc>
          <w:tcPr>
            <w:tcW w:type="dxa" w:w="2041"/>
          </w:tcPr>
          <w:p>
            <w:r/>
            <w:r>
              <w:rPr>
                <w:b w:val="0"/>
                <w:sz w:val="19"/>
              </w:rPr>
              <w:t>Paiement</w:t>
            </w:r>
          </w:p>
        </w:tc>
      </w:tr>
    </w:tbl>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Heading2"/>
      </w:pPr>
      <w:r>
        <w:t>6.4 Audit et traçabilité</w:t>
      </w:r>
    </w:p>
    <w:p>
      <w:r>
        <w:rPr>
          <w:b w:val="0"/>
          <w:i w:val="0"/>
        </w:rPr>
        <w:t>Les actions sensibles sont enregistrées dans audit_logs :</w:t>
      </w:r>
    </w:p>
    <w:tbl>
      <w:tblPr>
        <w:tblStyle w:val="TableGrid"/>
        <w:tblW w:type="auto" w:w="0"/>
        <w:jc w:val="center"/>
        <w:tblLook w:firstColumn="1" w:firstRow="1" w:lastColumn="0" w:lastRow="0" w:noHBand="0" w:noVBand="1" w:val="04A0"/>
      </w:tblPr>
      <w:tblGrid>
        <w:gridCol w:w="4320"/>
        <w:gridCol w:w="4320"/>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 IMPORT_OM / VERIFY_OM / VALIDATE_OM / VISA_DAF_OM / APPROVE_DG_OM / REJECT_OM ; RECAP_ETAT / NUMERO_ETAT / CONTROL_ETAT / VISA_DAF_ETAT / APPROVE_DG_ETAT / REJECT_ETAT ; GENERATE_LOT / CONFIRM_LOT / ERROR_LOT ; CREATE/UPDATE/DELETE_BAREME ; *_USER.</w:t>
            </w:r>
          </w:p>
        </w:tc>
      </w:tr>
      <w:tr>
        <w:tc>
          <w:tcPr>
            <w:tcW w:type="dxa" w:w="2608"/>
          </w:tcPr>
          <w:p>
            <w:r/>
            <w:r>
              <w:rPr>
                <w:b w:val="0"/>
                <w:sz w:val="19"/>
              </w:rPr>
              <w:t>entite / entite_id</w:t>
            </w:r>
          </w:p>
        </w:tc>
        <w:tc>
          <w:tcPr>
            <w:tcW w:type="dxa" w:w="6917"/>
          </w:tcPr>
          <w:p>
            <w:r/>
            <w:r>
              <w:rPr>
                <w:b w:val="0"/>
                <w:sz w:val="19"/>
              </w:rPr>
              <w:t>Entité concernée (session, ordre_mission, etat_paiement, lot_paiement, bareme, user)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w:t>
            </w:r>
          </w:p>
        </w:tc>
      </w:tr>
    </w:tbl>
    <w:p/>
    <w:p>
      <w:pPr>
        <w:pStyle w:val="Heading2"/>
      </w:pPr>
      <w:r>
        <w:t>7.2 Authentification &amp; compte</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 état (om.consulter)</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 détail d'un OM</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(régénération autorisée)</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bl>
    <w:p/>
    <w:p>
      <w:pPr>
        <w:pStyle w:val="Heading2"/>
      </w:pPr>
      <w:r>
        <w:t>7.5 Barème, rapports, audit &amp; administration</w:t>
      </w:r>
    </w:p>
    <w:tbl>
      <w:tblPr>
        <w:tblStyle w:val="TableGrid"/>
        <w:tblW w:type="auto" w:w="0"/>
        <w:jc w:val="center"/>
        <w:tblLook w:firstColumn="1" w:firstRow="1" w:lastColumn="0" w:lastRow="0" w:noHBand="0" w:noVBand="1" w:val="04A0"/>
      </w:tblPr>
      <w:tblGrid>
        <w:gridCol w:w="2880"/>
        <w:gridCol w:w="2880"/>
        <w:gridCol w:w="2880"/>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(tous)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/api/rapports/{mensuel|agents|operateurs|zones|imputations}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w:t>
            </w:r>
          </w:p>
        </w:tc>
        <w:tc>
          <w:tcPr>
            <w:tcW w:type="dxa" w:w="3628"/>
          </w:tcPr>
          <w:p>
            <w:r/>
            <w:r>
              <w:rPr>
                <w:b w:val="0"/>
                <w:sz w:val="19"/>
              </w:rPr>
              <w:t>Export xlsx/pdf (immédiat ou en file)</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w:t>
            </w:r>
          </w:p>
        </w:tc>
      </w:tr>
      <w:tr>
        <w:tc>
          <w:tcPr>
            <w:tcW w:type="dxa" w:w="1361"/>
          </w:tcPr>
          <w:p>
            <w:r/>
            <w:r>
              <w:rPr>
                <w:b w:val="0"/>
                <w:sz w:val="19"/>
              </w:rPr>
              <w:t>—</w:t>
            </w:r>
          </w:p>
        </w:tc>
        <w:tc>
          <w:tcPr>
            <w:tcW w:type="dxa" w:w="4535"/>
          </w:tcPr>
          <w:p>
            <w:r/>
            <w:r>
              <w:rPr>
                <w:b w:val="0"/>
                <w:sz w:val="19"/>
              </w:rPr>
              <w:t>/api/admin/{settings|backups}</w:t>
            </w:r>
          </w:p>
        </w:tc>
        <w:tc>
          <w:tcPr>
            <w:tcW w:type="dxa" w:w="3628"/>
          </w:tcPr>
          <w:p>
            <w:r/>
            <w:r>
              <w:rPr>
                <w:b w:val="0"/>
                <w:sz w:val="19"/>
              </w:rPr>
              <w:t>Paramètres &amp; sauvegardes (parametres.gerer)</w:t>
            </w:r>
          </w:p>
        </w:tc>
      </w:tr>
    </w:tbl>
    <w:p/>
    <w:p>
      <w:pPr>
        <w:pStyle w:val="Heading2"/>
      </w:pPr>
      <w:r>
        <w:t>7.6 Codes de réponse HTTP</w:t>
      </w:r>
    </w:p>
    <w:tbl>
      <w:tblPr>
        <w:tblStyle w:val="TableGrid"/>
        <w:tblW w:type="auto" w:w="0"/>
        <w:jc w:val="center"/>
        <w:tblLook w:firstColumn="1" w:firstRow="1" w:lastColumn="0" w:lastRow="0" w:noHBand="0" w:noVBand="1" w:val="04A0"/>
      </w:tblPr>
      <w:tblGrid>
        <w:gridCol w:w="2880"/>
        <w:gridCol w:w="2880"/>
        <w:gridCol w:w="2880"/>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ou Docker Compose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Usage opérationnel ANaTT</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ook w:firstColumn="1" w:firstRow="1" w:lastColumn="0" w:lastRow="0" w:noHBand="0" w:noVBand="1" w:val="04A0"/>
      </w:tblPr>
      <w:tblGrid>
        <w:gridCol w:w="4320"/>
        <w:gridCol w:w="4320"/>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 database » pour fonctionner sans Redis</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--tries=3   # générations asynchrones (lots, états)</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Docker (alternative dev)</w:t>
            </w:r>
          </w:p>
          <w:p>
            <w:r>
              <w:rPr>
                <w:rFonts w:ascii="Consolas" w:hAnsi="Consolas"/>
                <w:color w:val="FFFFFF"/>
                <w:sz w:val="18"/>
              </w:rPr>
              <w:t>docker-compose up -d</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lecteur@anatt.bj. Ces comptes ne sont JAMAIS créés en production.</w:t>
      </w:r>
    </w:p>
    <w:p>
      <w:r>
        <w:br w:type="page"/>
      </w:r>
    </w:p>
    <w:p>
      <w:pPr>
        <w:pStyle w:val="Heading1"/>
      </w:pPr>
      <w:r>
        <w:t>Annexe A — Barème officiel (FCFA / jour)</w:t>
      </w:r>
    </w:p>
    <w:p>
      <w:pPr>
        <w:pStyle w:val="Heading2"/>
      </w:pPr>
      <w:r>
        <w:t>Zone INTERIEUR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ORDRE_1</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ORDRE_2</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ORDRE_3</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ORDRE_1</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ORDRE_2</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ORDRE_3</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ORDRE_1</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ORDRE_2</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ORDRE_3</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ook w:firstColumn="1" w:firstRow="1" w:lastColumn="0" w:lastRow="0" w:noHBand="0" w:noVBand="1" w:val="04A0"/>
      </w:tblPr>
      <w:tblGrid>
        <w:gridCol w:w="4320"/>
        <w:gridCol w:w="4320"/>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30 %.</w:t>
            </w:r>
          </w:p>
        </w:tc>
      </w:tr>
      <w:tr>
        <w:tc>
          <w:tcPr>
            <w:tcW w:type="dxa" w:w="2381"/>
          </w:tcPr>
          <w:p>
            <w:r/>
            <w:r>
              <w:rPr>
                <w:b w:val="0"/>
                <w:sz w:val="19"/>
              </w:rPr>
              <w:t>État de paiement</w:t>
            </w:r>
          </w:p>
        </w:tc>
        <w:tc>
          <w:tcPr>
            <w:tcW w:type="dxa" w:w="7143"/>
          </w:tcPr>
          <w:p>
            <w:r/>
            <w:r>
              <w:rPr>
                <w:b w:val="0"/>
                <w:sz w:val="19"/>
              </w:rPr>
              <w:t>Document récapitulatif d'une mission (1 par mission) portant le circuit et les signatures.</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