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r>
        <w:tc>
          <w:tcPr>
            <w:tcW w:type="dxa" w:w="2041"/>
          </w:tcPr>
          <w:p>
            <w:r/>
            <w:r>
              <w:rPr>
                <w:b w:val="0"/>
                <w:sz w:val="20"/>
              </w:rPr>
              <w:t>OM soldé</w:t>
            </w:r>
          </w:p>
        </w:tc>
        <w:tc>
          <w:tcPr>
            <w:tcW w:type="dxa" w:w="6236"/>
          </w:tcPr>
          <w:p>
            <w:r/>
            <w:r>
              <w:rPr>
                <w:b w:val="0"/>
                <w:sz w:val="20"/>
              </w:rPr>
              <w:t>Un OM passe SOLDÉ quand tout ce qui lui est dû est réglé : versements confirmés, ou trop-perçu recouvré. Une tranche à 0 (part d'avance de 0 ou 100 %) ne le retient pas, et un OM exonéré est soldé dès sa validation.</w:t>
            </w:r>
          </w:p>
        </w:tc>
        <w:tc>
          <w:tcPr>
            <w:tcW w:type="dxa" w:w="1247"/>
          </w:tcPr>
          <w:p>
            <w:r/>
            <w:r>
              <w:rPr>
                <w:b w:val="0"/>
                <w:sz w:val="20"/>
              </w:rPr>
              <w:t>9.2, 9.5</w:t>
            </w:r>
          </w:p>
        </w:tc>
      </w:tr>
      <w:tr>
        <w:tc>
          <w:tcPr>
            <w:tcW w:type="dxa" w:w="2041"/>
          </w:tcPr>
          <w:p>
            <w:r/>
            <w:r>
              <w:rPr>
                <w:b w:val="0"/>
                <w:sz w:val="20"/>
              </w:rPr>
              <w:t>Amendement d'un OM soldé</w:t>
            </w:r>
          </w:p>
        </w:tc>
        <w:tc>
          <w:tcPr>
            <w:tcW w:type="dxa" w:w="6236"/>
          </w:tcPr>
          <w:p>
            <w:r/>
            <w:r>
              <w:rPr>
                <w:b w:val="0"/>
                <w:sz w:val="20"/>
              </w:rPr>
              <w:t>« Amender » reste proposé sur un OM soldé dont le reliquat n'est ni payé ni recouvré : une rallonge le rouvre, une réduction à zéro le solde.</w:t>
            </w:r>
          </w:p>
        </w:tc>
        <w:tc>
          <w:tcPr>
            <w:tcW w:type="dxa" w:w="1247"/>
          </w:tcPr>
          <w:p>
            <w:r/>
            <w:r>
              <w:rPr>
                <w:b w:val="0"/>
                <w:sz w:val="20"/>
              </w:rPr>
              <w:t>6.3</w:t>
            </w:r>
          </w:p>
        </w:tc>
      </w:tr>
      <w:tr>
        <w:tc>
          <w:tcPr>
            <w:tcW w:type="dxa" w:w="2041"/>
          </w:tcPr>
          <w:p>
            <w:r/>
            <w:r>
              <w:rPr>
                <w:b w:val="0"/>
                <w:sz w:val="20"/>
              </w:rPr>
              <w:t>Lot complémentaire</w:t>
            </w:r>
          </w:p>
        </w:tc>
        <w:tc>
          <w:tcPr>
            <w:tcW w:type="dxa" w:w="6236"/>
          </w:tcPr>
          <w:p>
            <w:r/>
            <w:r>
              <w:rPr>
                <w:b w:val="0"/>
                <w:sz w:val="20"/>
              </w:rPr>
              <w:t>Sur l'écran de génération, le bouton devient « Générer le lot complémentaire » dès qu'un lot confirmé laisse des bénéficiaires à payer.</w:t>
            </w:r>
          </w:p>
        </w:tc>
        <w:tc>
          <w:tcPr>
            <w:tcW w:type="dxa" w:w="1247"/>
          </w:tcPr>
          <w:p>
            <w:r/>
            <w:r>
              <w:rPr>
                <w:b w:val="0"/>
                <w:sz w:val="20"/>
              </w:rPr>
              <w:t>9.3</w:t>
            </w:r>
          </w:p>
        </w:tc>
      </w:tr>
      <w:tr>
        <w:tc>
          <w:tcPr>
            <w:tcW w:type="dxa" w:w="2041"/>
          </w:tcPr>
          <w:p>
            <w:r/>
            <w:r>
              <w:rPr>
                <w:b w:val="0"/>
                <w:sz w:val="20"/>
              </w:rPr>
              <w:t>Notifications</w:t>
            </w:r>
          </w:p>
        </w:tc>
        <w:tc>
          <w:tcPr>
            <w:tcW w:type="dxa" w:w="6236"/>
          </w:tcPr>
          <w:p>
            <w:r/>
            <w:r>
              <w:rPr>
                <w:b w:val="0"/>
                <w:sz w:val="20"/>
              </w:rPr>
              <w:t>Elles suivent les droits réels : un compte reçoit la cloche et l'e-mail dès qu'il détient la permission de l'étape (rôle personnalisé ou droit accordé à titre individuel compris) ; un droit retiré n'est plus notifié. Seuls les comptes actifs sont prévenus.</w:t>
            </w:r>
          </w:p>
        </w:tc>
        <w:tc>
          <w:tcPr>
            <w:tcW w:type="dxa" w:w="1247"/>
          </w:tcPr>
          <w:p>
            <w:r/>
            <w:r>
              <w:rPr>
                <w:b w:val="0"/>
                <w:sz w:val="20"/>
              </w:rPr>
              <w:t>7.2</w:t>
            </w:r>
          </w:p>
        </w:tc>
      </w:tr>
      <w:tr>
        <w:tc>
          <w:tcPr>
            <w:tcW w:type="dxa" w:w="2041"/>
          </w:tcPr>
          <w:p>
            <w:r/>
            <w:r>
              <w:rPr>
                <w:b w:val="0"/>
                <w:sz w:val="20"/>
              </w:rPr>
              <w:t>Heure du Bénin</w:t>
            </w:r>
          </w:p>
        </w:tc>
        <w:tc>
          <w:tcPr>
            <w:tcW w:type="dxa" w:w="6236"/>
          </w:tcPr>
          <w:p>
            <w:r/>
            <w:r>
              <w:rPr>
                <w:b w:val="0"/>
                <w:sz w:val="20"/>
              </w:rPr>
              <w:t>Les dates et heures enregistrées (paiements, signatures, journal) sont à l'heure du Bénin. Un paiement confirmé le 1er du mois juste après minuit compte dans ce mois.</w:t>
            </w:r>
          </w:p>
        </w:tc>
        <w:tc>
          <w:tcPr>
            <w:tcW w:type="dxa" w:w="1247"/>
          </w:tcPr>
          <w:p>
            <w:r/>
            <w:r>
              <w:rPr>
                <w:b w:val="0"/>
                <w:sz w:val="20"/>
              </w:rPr>
              <w:t>11</w:t>
            </w:r>
          </w:p>
        </w:tc>
      </w:tr>
      <w:tr>
        <w:tc>
          <w:tcPr>
            <w:tcW w:type="dxa" w:w="2041"/>
          </w:tcPr>
          <w:p>
            <w:r/>
            <w:r>
              <w:rPr>
                <w:b w:val="0"/>
                <w:sz w:val="20"/>
              </w:rPr>
              <w:t>Échec d'une génération</w:t>
            </w:r>
          </w:p>
        </w:tc>
        <w:tc>
          <w:tcPr>
            <w:tcW w:type="dxa" w:w="6236"/>
          </w:tcPr>
          <w:p>
            <w:r/>
            <w:r>
              <w:rPr>
                <w:b w:val="0"/>
                <w:sz w:val="20"/>
              </w:rPr>
              <w:t>Après une erreur, l'écran de génération recharge le lot de lui-même : plus besoin de recharger la page.</w:t>
            </w:r>
          </w:p>
        </w:tc>
        <w:tc>
          <w:tcPr>
            <w:tcW w:type="dxa" w:w="1247"/>
          </w:tcPr>
          <w:p>
            <w:r/>
            <w:r>
              <w:rPr>
                <w:b w:val="0"/>
                <w:sz w:val="20"/>
              </w:rPr>
              <w:t>9.1</w:t>
            </w:r>
          </w:p>
        </w:tc>
      </w:tr>
      <w:tr>
        <w:tc>
          <w:tcPr>
            <w:tcW w:type="dxa" w:w="2041"/>
          </w:tcPr>
          <w:p>
            <w:r/>
            <w:r>
              <w:rPr>
                <w:b w:val="0"/>
                <w:sz w:val="20"/>
              </w:rPr>
              <w:t>Fiche et aperçu de l'OM amendé</w:t>
            </w:r>
          </w:p>
        </w:tc>
        <w:tc>
          <w:tcPr>
            <w:tcW w:type="dxa" w:w="6236"/>
          </w:tcPr>
          <w:p>
            <w:r/>
            <w:r>
              <w:rPr>
                <w:b w:val="0"/>
                <w:sz w:val="20"/>
              </w:rPr>
              <w:t>Ils affichent les mêmes libellés que le PDF officiel : « Avance engagée », « Reliquat (ajusté par amendement) » ou « Trop-perçu ».</w:t>
            </w:r>
          </w:p>
        </w:tc>
        <w:tc>
          <w:tcPr>
            <w:tcW w:type="dxa" w:w="1247"/>
          </w:tcPr>
          <w:p>
            <w:r/>
            <w:r>
              <w:rPr>
                <w:b w:val="0"/>
                <w:sz w:val="20"/>
              </w:rPr>
              <w:t>6.3</w:t>
            </w:r>
          </w:p>
        </w:tc>
      </w:tr>
      <w:tr>
        <w:tc>
          <w:tcPr>
            <w:tcW w:type="dxa" w:w="2041"/>
          </w:tcPr>
          <w:p>
            <w:r/>
            <w:r>
              <w:rPr>
                <w:b w:val="0"/>
                <w:sz w:val="20"/>
              </w:rPr>
              <w:t>Configuration e-mail</w:t>
            </w:r>
          </w:p>
        </w:tc>
        <w:tc>
          <w:tcPr>
            <w:tcW w:type="dxa" w:w="6236"/>
          </w:tcPr>
          <w:p>
            <w:r/>
            <w:r>
              <w:rPr>
                <w:b w:val="0"/>
                <w:sz w:val="20"/>
              </w:rPr>
              <w:t>L'écran présente les notifications réellement envoyées, avec leurs destinataires.</w:t>
            </w:r>
          </w:p>
        </w:tc>
        <w:tc>
          <w:tcPr>
            <w:tcW w:type="dxa" w:w="1247"/>
          </w:tcPr>
          <w:p>
            <w:r/>
            <w:r>
              <w:rPr>
                <w:b w:val="0"/>
                <w:sz w:val="20"/>
              </w:rPr>
              <w:t>13.2</w:t>
            </w:r>
          </w:p>
        </w:tc>
      </w:tr>
      <w:tr>
        <w:tc>
          <w:tcPr>
            <w:tcW w:type="dxa" w:w="2041"/>
          </w:tcPr>
          <w:p>
            <w:r/>
            <w:r>
              <w:rPr>
                <w:b w:val="0"/>
                <w:sz w:val="20"/>
              </w:rPr>
              <w:t>Part de l'avance d'une mission</w:t>
            </w:r>
          </w:p>
        </w:tc>
        <w:tc>
          <w:tcPr>
            <w:tcW w:type="dxa" w:w="6236"/>
          </w:tcPr>
          <w:p>
            <w:r/>
            <w:r>
              <w:rPr>
                <w:b w:val="0"/>
                <w:sz w:val="20"/>
              </w:rPr>
              <w:t>L'écran d'un état de paiement (« Avances (70 %) » / « Reliquats (30 %) ») et le choix de la tranche à la génération affichent la part avec laquelle les OM de la mission ont été retranscrits, et non le réglage du jour : changer la part dans « Paramètres » ne modifie ni les montants ni les pourcentages d'une mission déjà saisie.</w:t>
            </w:r>
          </w:p>
        </w:tc>
        <w:tc>
          <w:tcPr>
            <w:tcW w:type="dxa" w:w="1247"/>
          </w:tcPr>
          <w:p>
            <w:r/>
            <w:r>
              <w:rPr>
                <w:b w:val="0"/>
                <w:sz w:val="20"/>
              </w:rPr>
              <w:t>7.1, 8, 9.1</w:t>
            </w:r>
          </w:p>
        </w:tc>
      </w:tr>
      <w:tr>
        <w:tc>
          <w:tcPr>
            <w:tcW w:type="dxa" w:w="2041"/>
          </w:tcPr>
          <w:p>
            <w:r/>
            <w:r>
              <w:rPr>
                <w:b w:val="0"/>
                <w:sz w:val="20"/>
              </w:rPr>
              <w:t>Fonction imprimée</w:t>
            </w:r>
          </w:p>
        </w:tc>
        <w:tc>
          <w:tcPr>
            <w:tcW w:type="dxa" w:w="6236"/>
          </w:tcPr>
          <w:p>
            <w:r/>
            <w:r>
              <w:rPr>
                <w:b w:val="0"/>
                <w:sz w:val="20"/>
              </w:rPr>
              <w:t>Sans fonction saisie dans « Signatures », l'état imprime celle du compte du signataire, puis le libellé du poste.</w:t>
            </w:r>
          </w:p>
        </w:tc>
        <w:tc>
          <w:tcPr>
            <w:tcW w:type="dxa" w:w="1247"/>
          </w:tcPr>
          <w:p>
            <w:r/>
            <w:r>
              <w:rPr>
                <w:b w:val="0"/>
                <w:sz w:val="20"/>
              </w:rPr>
              <w:t>7.4</w:t>
            </w:r>
          </w:p>
        </w:tc>
      </w:tr>
      <w:tr>
        <w:tc>
          <w:tcPr>
            <w:tcW w:type="dxa" w:w="2041"/>
          </w:tcPr>
          <w:p>
            <w:r/>
            <w:r>
              <w:rPr>
                <w:b w:val="0"/>
                <w:sz w:val="20"/>
              </w:rPr>
              <w:t>Menu</w:t>
            </w:r>
          </w:p>
        </w:tc>
        <w:tc>
          <w:tcPr>
            <w:tcW w:type="dxa" w:w="6236"/>
          </w:tcPr>
          <w:p>
            <w:r/>
            <w:r>
              <w:rPr>
                <w:b w:val="0"/>
                <w:sz w:val="20"/>
              </w:rPr>
              <w:t>Libellés accentués : « États de paiement », « Générer MTN », « Générer Moov », « Régularisations », « Barèmes », « Paramètres », « Matrice des permissions ».</w:t>
            </w:r>
          </w:p>
        </w:tc>
        <w:tc>
          <w:tcPr>
            <w:tcW w:type="dxa" w:w="1247"/>
          </w:tcPr>
          <w:p>
            <w:r/>
            <w:r>
              <w:rPr>
                <w:b w:val="0"/>
                <w:sz w:val="20"/>
              </w:rPr>
              <w:t>—</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pPr>
        <w:jc w:val="center"/>
      </w:pPr>
      <w:r>
        <w:drawing>
          <wp:inline xmlns:a="http://schemas.openxmlformats.org/drawingml/2006/main" xmlns:pic="http://schemas.openxmlformats.org/drawingml/2006/picture">
            <wp:extent cx="5760000" cy="10708000"/>
            <wp:docPr id="2" name="Picture 2"/>
            <wp:cNvGraphicFramePr>
              <a:graphicFrameLocks noChangeAspect="1"/>
            </wp:cNvGraphicFramePr>
            <a:graphic>
              <a:graphicData uri="http://schemas.openxmlformats.org/drawingml/2006/picture">
                <pic:pic>
                  <pic:nvPicPr>
                    <pic:cNvPr id="0" name="33_gestion_roles.jpg"/>
                    <pic:cNvPicPr/>
                  </pic:nvPicPr>
                  <pic:blipFill>
                    <a:blip r:embed="rId10"/>
                    <a:stretch>
                      <a:fillRect/>
                    </a:stretch>
                  </pic:blipFill>
                  <pic:spPr>
                    <a:xfrm>
                      <a:off x="0" y="0"/>
                      <a:ext cx="5760000" cy="10708000"/>
                    </a:xfrm>
                    <a:prstGeom prst="rect"/>
                  </pic:spPr>
                </pic:pic>
              </a:graphicData>
            </a:graphic>
          </wp:inline>
        </w:drawing>
      </w:r>
    </w:p>
    <w:p>
      <w:pPr>
        <w:jc w:val="center"/>
      </w:pPr>
      <w:r>
        <w:rPr>
          <w:i/>
          <w:color w:val="4B5563"/>
          <w:sz w:val="18"/>
        </w:rPr>
        <w:t>Figure — matrice des permissions</w:t>
      </w:r>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_login.jpg"/>
                    <pic:cNvPicPr/>
                  </pic:nvPicPr>
                  <pic:blipFill>
                    <a:blip r:embed="rId11"/>
                    <a:stretch>
                      <a:fillRect/>
                    </a:stretch>
                  </pic:blipFill>
                  <pic:spPr>
                    <a:xfrm>
                      <a:off x="0" y="0"/>
                      <a:ext cx="5760000" cy="3600000"/>
                    </a:xfrm>
                    <a:prstGeom prst="rect"/>
                  </pic:spPr>
                </pic:pic>
              </a:graphicData>
            </a:graphic>
          </wp:inline>
        </w:drawing>
      </w:r>
    </w:p>
    <w:p>
      <w:pPr>
        <w:jc w:val="center"/>
      </w:pPr>
      <w:r>
        <w:rPr>
          <w:i/>
          <w:color w:val="4B5563"/>
          <w:sz w:val="18"/>
        </w:rPr>
        <w:t>Figure — écran de connexion</w:t>
      </w:r>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4_dashboard.jpg"/>
                    <pic:cNvPicPr/>
                  </pic:nvPicPr>
                  <pic:blipFill>
                    <a:blip r:embed="rId12"/>
                    <a:stretch>
                      <a:fillRect/>
                    </a:stretch>
                  </pic:blipFill>
                  <pic:spPr>
                    <a:xfrm>
                      <a:off x="0" y="0"/>
                      <a:ext cx="5760000" cy="3600000"/>
                    </a:xfrm>
                    <a:prstGeom prst="rect"/>
                  </pic:spPr>
                </pic:pic>
              </a:graphicData>
            </a:graphic>
          </wp:inline>
        </w:drawing>
      </w:r>
    </w:p>
    <w:p>
      <w:pPr>
        <w:jc w:val="center"/>
      </w:pPr>
      <w:r>
        <w:rPr>
          <w:i/>
          <w:color w:val="4B5563"/>
          <w:sz w:val="18"/>
        </w:rPr>
        <w:t>Figure — tableau de bord (profil super administrateur)</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jc w:val="center"/>
      </w:pPr>
      <w:r>
        <w:drawing>
          <wp:inline xmlns:a="http://schemas.openxmlformats.org/drawingml/2006/main" xmlns:pic="http://schemas.openxmlformats.org/drawingml/2006/picture">
            <wp:extent cx="5760000" cy="3892000"/>
            <wp:docPr id="5" name="Picture 5"/>
            <wp:cNvGraphicFramePr>
              <a:graphicFrameLocks noChangeAspect="1"/>
            </wp:cNvGraphicFramePr>
            <a:graphic>
              <a:graphicData uri="http://schemas.openxmlformats.org/drawingml/2006/picture">
                <pic:pic>
                  <pic:nvPicPr>
                    <pic:cNvPr id="0" name="05_personnel_liste.jpg"/>
                    <pic:cNvPicPr/>
                  </pic:nvPicPr>
                  <pic:blipFill>
                    <a:blip r:embed="rId13"/>
                    <a:stretch>
                      <a:fillRect/>
                    </a:stretch>
                  </pic:blipFill>
                  <pic:spPr>
                    <a:xfrm>
                      <a:off x="0" y="0"/>
                      <a:ext cx="5760000" cy="3892000"/>
                    </a:xfrm>
                    <a:prstGeom prst="rect"/>
                  </pic:spPr>
                </pic:pic>
              </a:graphicData>
            </a:graphic>
          </wp:inline>
        </w:drawing>
      </w:r>
    </w:p>
    <w:p>
      <w:pPr>
        <w:jc w:val="center"/>
      </w:pPr>
      <w:r>
        <w:rPr>
          <w:i/>
          <w:color w:val="4B5563"/>
          <w:sz w:val="18"/>
        </w:rPr>
        <w:t>Figure — liste du personnel</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jc w:val="center"/>
      </w:pPr>
      <w:r>
        <w:drawing>
          <wp:inline xmlns:a="http://schemas.openxmlformats.org/drawingml/2006/main" xmlns:pic="http://schemas.openxmlformats.org/drawingml/2006/picture">
            <wp:extent cx="5760000" cy="3740000"/>
            <wp:docPr id="6" name="Picture 6"/>
            <wp:cNvGraphicFramePr>
              <a:graphicFrameLocks noChangeAspect="1"/>
            </wp:cNvGraphicFramePr>
            <a:graphic>
              <a:graphicData uri="http://schemas.openxmlformats.org/drawingml/2006/picture">
                <pic:pic>
                  <pic:nvPicPr>
                    <pic:cNvPr id="0" name="12_om_creation.jpg"/>
                    <pic:cNvPicPr/>
                  </pic:nvPicPr>
                  <pic:blipFill>
                    <a:blip r:embed="rId14"/>
                    <a:stretch>
                      <a:fillRect/>
                    </a:stretch>
                  </pic:blipFill>
                  <pic:spPr>
                    <a:xfrm>
                      <a:off x="0" y="0"/>
                      <a:ext cx="5760000" cy="3740000"/>
                    </a:xfrm>
                    <a:prstGeom prst="rect"/>
                  </pic:spPr>
                </pic:pic>
              </a:graphicData>
            </a:graphic>
          </wp:inline>
        </w:drawing>
      </w:r>
    </w:p>
    <w:p>
      <w:pPr>
        <w:jc w:val="center"/>
      </w:pPr>
      <w:r>
        <w:rPr>
          <w:i/>
          <w:color w:val="4B5563"/>
          <w:sz w:val="18"/>
        </w:rPr>
        <w:t>Figure — assistant de retranscription, étape 1</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pPr>
        <w:jc w:val="center"/>
      </w:pPr>
      <w:r>
        <w:drawing>
          <wp:inline xmlns:a="http://schemas.openxmlformats.org/drawingml/2006/main" xmlns:pic="http://schemas.openxmlformats.org/drawingml/2006/picture">
            <wp:extent cx="5760000" cy="4708000"/>
            <wp:docPr id="7" name="Picture 7"/>
            <wp:cNvGraphicFramePr>
              <a:graphicFrameLocks noChangeAspect="1"/>
            </wp:cNvGraphicFramePr>
            <a:graphic>
              <a:graphicData uri="http://schemas.openxmlformats.org/drawingml/2006/picture">
                <pic:pic>
                  <pic:nvPicPr>
                    <pic:cNvPr id="0" name="15_detail_om.jpg"/>
                    <pic:cNvPicPr/>
                  </pic:nvPicPr>
                  <pic:blipFill>
                    <a:blip r:embed="rId15"/>
                    <a:stretch>
                      <a:fillRect/>
                    </a:stretch>
                  </pic:blipFill>
                  <pic:spPr>
                    <a:xfrm>
                      <a:off x="0" y="0"/>
                      <a:ext cx="5760000" cy="4708000"/>
                    </a:xfrm>
                    <a:prstGeom prst="rect"/>
                  </pic:spPr>
                </pic:pic>
              </a:graphicData>
            </a:graphic>
          </wp:inline>
        </w:drawing>
      </w:r>
    </w:p>
    <w:p>
      <w:pPr>
        <w:jc w:val="center"/>
      </w:pPr>
      <w:r>
        <w:rPr>
          <w:i/>
          <w:color w:val="4B5563"/>
          <w:sz w:val="18"/>
        </w:rPr>
        <w:t>Figure — fiche d'un OM amendé après paiement de l'avance (trop-perçu)</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 Un OM exonéré (prise en charge par un tiers) validé ainsi passe directement SOLDÉ.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La fiche de l'OM, l'aperçu « PDF de l'OM » et le PDF officiel (régénéré après l'amendement) n'affichent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ListBullet"/>
      </w:pPr>
      <w:r>
        <w:t>Les onglets « Avances (… %) » et « Reliquats (… %) » indiquent la part de l'avance de la mission, celle avec laquelle ses OM ont été retranscrits : elle ne change pas si la part est modifiée ensuite dans « Paramètres ».</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8_file_etats.jpg"/>
                    <pic:cNvPicPr/>
                  </pic:nvPicPr>
                  <pic:blipFill>
                    <a:blip r:embed="rId16"/>
                    <a:stretch>
                      <a:fillRect/>
                    </a:stretch>
                  </pic:blipFill>
                  <pic:spPr>
                    <a:xfrm>
                      <a:off x="0" y="0"/>
                      <a:ext cx="5760000" cy="3600000"/>
                    </a:xfrm>
                    <a:prstGeom prst="rect"/>
                  </pic:spPr>
                </pic:pic>
              </a:graphicData>
            </a:graphic>
          </wp:inline>
        </w:drawing>
      </w:r>
    </w:p>
    <w:p>
      <w:pPr>
        <w:jc w:val="center"/>
      </w:pPr>
      <w:r>
        <w:rPr>
          <w:i/>
          <w:color w:val="4B5563"/>
          <w:sz w:val="18"/>
        </w:rPr>
        <w:t>Figure — file de travail des états de paiement (profil contrôleur)</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p>
      <w:pPr>
        <w:pStyle w:val="ListBullet"/>
      </w:pPr>
      <w:r>
        <w:t>Notifications (cloche et e-mail) : à chaque étape, sont prévenus les comptes actifs qui détiennent la permission de l'étape suivante — contrôler, viser, puis valider ; à la validation finale, ceux qui génèrent les fichiers de paiement ; en cas de rejet, ceux qui retranscrivent les missions. Un rôle personnalisé ou un droit accordé à titre individuel est donc notifié ; un droit retiré ne l'est plus. Le super administrateur n'est pas notifié, et un compte désactivé ne l'est jamais.</w:t>
      </w:r>
    </w:p>
    <w:p>
      <w:pPr>
        <w:jc w:val="center"/>
      </w:pPr>
      <w:r>
        <w:drawing>
          <wp:inline xmlns:a="http://schemas.openxmlformats.org/drawingml/2006/main" xmlns:pic="http://schemas.openxmlformats.org/drawingml/2006/picture">
            <wp:extent cx="5760000" cy="4312000"/>
            <wp:docPr id="9" name="Picture 9"/>
            <wp:cNvGraphicFramePr>
              <a:graphicFrameLocks noChangeAspect="1"/>
            </wp:cNvGraphicFramePr>
            <a:graphic>
              <a:graphicData uri="http://schemas.openxmlformats.org/drawingml/2006/picture">
                <pic:pic>
                  <pic:nvPicPr>
                    <pic:cNvPr id="0" name="17_etat_paiement.jpg"/>
                    <pic:cNvPicPr/>
                  </pic:nvPicPr>
                  <pic:blipFill>
                    <a:blip r:embed="rId17"/>
                    <a:stretch>
                      <a:fillRect/>
                    </a:stretch>
                  </pic:blipFill>
                  <pic:spPr>
                    <a:xfrm>
                      <a:off x="0" y="0"/>
                      <a:ext cx="5760000" cy="4312000"/>
                    </a:xfrm>
                    <a:prstGeom prst="rect"/>
                  </pic:spPr>
                </pic:pic>
              </a:graphicData>
            </a:graphic>
          </wp:inline>
        </w:drawing>
      </w:r>
    </w:p>
    <w:p>
      <w:pPr>
        <w:jc w:val="center"/>
      </w:pPr>
      <w:r>
        <w:rPr>
          <w:i/>
          <w:color w:val="4B5563"/>
          <w:sz w:val="18"/>
        </w:rPr>
        <w:t>Figure — état des avances validé : numéro, montants et circuit signé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ListBullet"/>
      </w:pPr>
      <w:r>
        <w:t>Si l'écran « Signatures » ne renseigne pas un poste, l'état imprime le nom du compte qui signe ; pour la fonction, celle enregistrée sur ce compte, à défaut le libellé du poste (« Le Directeur Général »…). Nom et fonction sont figés au moment de la signature.</w:t>
      </w:r>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 Une mission déjà saisie garde ses montants, et ses écrans (fiche et PDF de l'OM, état de paiement, génération des fichiers) affichent la part avec laquelle elle a été retranscrite.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Dans le menu Paiements, ouvrez « Générer MTN » ou « Générer Moov ».</w:t>
      </w:r>
    </w:p>
    <w:p>
      <w:pPr>
        <w:pStyle w:val="ListNumber"/>
        <w:numPr>
          <w:ilvl w:val="0"/>
          <w:numId w:val="17"/>
        </w:numPr>
      </w:pPr>
      <w:r>
        <w:t>Sélectionnez la mission et la tranche (AVANCE ou RELIQUAT) : l'« Aperçu des bénéficiaires » éligibles s'affiche aussitôt. Une fois la mission choisie, la tranche est libellée avec la part de cette mission (par exemple « Avance (60 %) » pour une mission retranscrite à 60 %).</w:t>
      </w:r>
    </w:p>
    <w:p>
      <w:pPr>
        <w:pStyle w:val="ListNumber"/>
        <w:numPr>
          <w:ilvl w:val="0"/>
          <w:numId w:val="17"/>
        </w:numPr>
      </w:pPr>
      <w:r>
        <w:t>Cliquez sur « Générer le fichier.txt » (MTN) ou « Générer le fichier.xlsx » (Moov) : le fichier est téléchargé et le lot passe au statut GÉNÉRÉ.</w:t>
      </w:r>
    </w:p>
    <w:p>
      <w:r>
        <w:rPr>
          <w:b w:val="0"/>
          <w:i w:val="0"/>
        </w:rPr>
        <w:t>Pour un volume important (plus de 50 bénéficiaires), la génération peut se faire en arrière-plan : un bandeau de suivi s'affiche et le fichier se télécharge automatiquement dès qu'il est prêt. Restez sur l'écran pendant le traitement ; le lot reste ensuite re-téléchargeable depuis la liste des lots. Sur l'hébergement de production, le traitement se fait d'un seul tenant : si une erreur s'affiche, l'écran recharge le lot de lui-même. Un lot précédemment généré a pu passer en erreur : « Confirmer le paiement » n'est alors plus proposé et « Régénérer » reste disponible.</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9_generation_mtn.jpg"/>
                    <pic:cNvPicPr/>
                  </pic:nvPicPr>
                  <pic:blipFill>
                    <a:blip r:embed="rId18"/>
                    <a:stretch>
                      <a:fillRect/>
                    </a:stretch>
                  </pic:blipFill>
                  <pic:spPr>
                    <a:xfrm>
                      <a:off x="0" y="0"/>
                      <a:ext cx="5760000" cy="3600000"/>
                    </a:xfrm>
                    <a:prstGeom prst="rect"/>
                  </pic:spPr>
                </pic:pic>
              </a:graphicData>
            </a:graphic>
          </wp:inline>
        </w:drawing>
      </w:r>
    </w:p>
    <w:p>
      <w:pPr>
        <w:jc w:val="center"/>
      </w:pPr>
      <w:r>
        <w:rPr>
          <w:i/>
          <w:color w:val="4B5563"/>
          <w:sz w:val="18"/>
        </w:rPr>
        <w:t>Figure — génération MTN : aperçu des bénéficiaires et lot généré, en attente de dépôt</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sur l'écran de génération et cliquez sur « Confirmer le paiement ».</w:t>
      </w:r>
    </w:p>
    <w:p>
      <w:pPr>
        <w:pStyle w:val="ListNumber"/>
        <w:numPr>
          <w:ilvl w:val="0"/>
          <w:numId w:val="18"/>
        </w:numPr>
      </w:pPr>
      <w:r>
        <w:t>Le lot et ses versements passent au statut CONFIRMÉ et sont horodatés. L'OM dont tout ce qui est dû est réglé passe au statut SOLDÉ (une tranche à 0 ne compte pas).</w:t>
      </w:r>
    </w:p>
    <w:p>
      <w:pPr>
        <w:pStyle w:val="Heading2"/>
      </w:pPr>
      <w:r>
        <w:t>9.3 Régénérer ou signaler une erreur</w:t>
      </w:r>
    </w:p>
    <w:p>
      <w:pPr>
        <w:pStyle w:val="ListBullet"/>
      </w:pPr>
      <w:r>
        <w:t>Tant qu'un lot n'est pas confirmé, vous pouvez le régénérer (« Régénérer le fichier »).</w:t>
      </w:r>
    </w:p>
    <w:p>
      <w:pPr>
        <w:pStyle w:val="ListBullet"/>
      </w:pPr>
      <w:r>
        <w:t>En cas de problème de dépôt, cliquez sur « Marquer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 Si l'avance de l'OM est payée, l'OM passe SOLDÉ.</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47_regularisations.jpg"/>
                    <pic:cNvPicPr/>
                  </pic:nvPicPr>
                  <pic:blipFill>
                    <a:blip r:embed="rId19"/>
                    <a:stretch>
                      <a:fillRect/>
                    </a:stretch>
                  </pic:blipFill>
                  <pic:spPr>
                    <a:xfrm>
                      <a:off x="0" y="0"/>
                      <a:ext cx="5760000" cy="3600000"/>
                    </a:xfrm>
                    <a:prstGeom prst="rect"/>
                  </pic:spPr>
                </pic:pic>
              </a:graphicData>
            </a:graphic>
          </wp:inline>
        </w:drawing>
      </w:r>
    </w:p>
    <w:p>
      <w:pPr>
        <w:jc w:val="center"/>
      </w:pPr>
      <w:r>
        <w:rPr>
          <w:i/>
          <w:color w:val="4B5563"/>
          <w:sz w:val="18"/>
        </w:rPr>
        <w:t>Figure — régularisations : un trop-perçu à recouvrer</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 Un paiement est rangé dans le mois de sa confirmation, à l'heure du Bénin.</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26_rapport_mensuel.jpg"/>
                    <pic:cNvPicPr/>
                  </pic:nvPicPr>
                  <pic:blipFill>
                    <a:blip r:embed="rId20"/>
                    <a:stretch>
                      <a:fillRect/>
                    </a:stretch>
                  </pic:blipFill>
                  <pic:spPr>
                    <a:xfrm>
                      <a:off x="0" y="0"/>
                      <a:ext cx="5760000" cy="3600000"/>
                    </a:xfrm>
                    <a:prstGeom prst="rect"/>
                  </pic:spPr>
                </pic:pic>
              </a:graphicData>
            </a:graphic>
          </wp:inline>
        </w:drawing>
      </w:r>
    </w:p>
    <w:p>
      <w:pPr>
        <w:jc w:val="center"/>
      </w:pPr>
      <w:r>
        <w:rPr>
          <w:i/>
          <w:color w:val="4B5563"/>
          <w:sz w:val="18"/>
        </w:rPr>
        <w:t>Figure — état mensuel</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p>
      <w:pPr>
        <w:jc w:val="center"/>
      </w:pPr>
      <w:r>
        <w:drawing>
          <wp:inline xmlns:a="http://schemas.openxmlformats.org/drawingml/2006/main" xmlns:pic="http://schemas.openxmlformats.org/drawingml/2006/picture">
            <wp:extent cx="5760000" cy="5284000"/>
            <wp:docPr id="13" name="Picture 13"/>
            <wp:cNvGraphicFramePr>
              <a:graphicFrameLocks noChangeAspect="1"/>
            </wp:cNvGraphicFramePr>
            <a:graphic>
              <a:graphicData uri="http://schemas.openxmlformats.org/drawingml/2006/picture">
                <pic:pic>
                  <pic:nvPicPr>
                    <pic:cNvPr id="0" name="31_gestion_utilisateurs.jpg"/>
                    <pic:cNvPicPr/>
                  </pic:nvPicPr>
                  <pic:blipFill>
                    <a:blip r:embed="rId21"/>
                    <a:stretch>
                      <a:fillRect/>
                    </a:stretch>
                  </pic:blipFill>
                  <pic:spPr>
                    <a:xfrm>
                      <a:off x="0" y="0"/>
                      <a:ext cx="5760000" cy="5284000"/>
                    </a:xfrm>
                    <a:prstGeom prst="rect"/>
                  </pic:spPr>
                </pic:pic>
              </a:graphicData>
            </a:graphic>
          </wp:inline>
        </w:drawing>
      </w:r>
    </w:p>
    <w:p>
      <w:pPr>
        <w:jc w:val="center"/>
      </w:pPr>
      <w:r>
        <w:rPr>
          <w:i/>
          <w:color w:val="4B5563"/>
          <w:sz w:val="18"/>
        </w:rPr>
        <w:t>Figure — gestion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(onglet Général) : configuration générale de l'application, dont la part de l'avance (%) appliquée à la répartition avance / reliquat (70 % par défaut). Elle ne vaut que pour les OM retranscrits après la modification : les missions déjà saisies gardent leurs montants et leur part. Le fuseau horaire (heure du Bénin) y est affiché pour information : il est réglé sur le serveur.</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 L'écran liste les sept notifications envoyées (état à signer, état validé ou rejeté, OM validé ou rejeté, lot confirmé, trop-perçu créé) avec la permission de leurs destinataires.</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Valeurs héritées de l'ancien circuit par OM, qui n'existe plus : elles ne sont plus produites.</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Tout ce qui est dû est réglé : versements non nuls confirmés, trop-perçu recouvré, ou OM exonéré validé. Encore amendable si le reliquat n'est ni payé ni recouvré.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