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w:t>
            </w:r>
          </w:p>
        </w:tc>
        <w:tc>
          <w:tcPr>
            <w:tcW w:type="dxa" w:w="4195"/>
          </w:tcPr>
          <w:p>
            <w:r/>
            <w:r>
              <w:rPr>
                <w:b w:val="0"/>
                <w:sz w:val="19"/>
              </w:rPr>
              <w:t>Langage backend (minimum imposé par composer.lock : Symfony 8)</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un trop-perçu est déjà RECOUVRE.</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(cf. §4.6).</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route /api/* non authentifiée répond 401 JSON, même sans en-tête Accept (aucune redirection vers une page de login).</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 obligatoire).</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 130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572 tests au total (68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114 tests / 26 fichiers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et navigation.spec.ts (menu ↔ routes ↔ API cohérents).</w:t>
      </w:r>
    </w:p>
    <w:p>
      <w:pPr>
        <w:pStyle w:val="ListBullet"/>
      </w:pPr>
      <w:r>
        <w:t>Recette sur l'API réelle (23/10/2026, base SQLite neuve, QUEUE_CONNECTION=sync) : 83/83 contrôles conformes ; scénario de démonstration (docs/SCENARIO-DEMO.md) rejoué, conforme.</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