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1.1.0  •  Juillet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11 (backend) → base MySQL. Communication HTTP/HTTPS avec tokens Bearer (Sanctum). Files de travaux (queue) pour les générations volumineuses (fichiers de paiement, états). Déploiement : WampServer ou Docker Compose (dev) ; serveur Linux + Nginx (prod).</w:t>
            </w:r>
          </w:p>
        </w:tc>
      </w:tr>
    </w:tbl>
    <w:p/>
    <w:p>
      <w:pPr>
        <w:pStyle w:val="Heading2"/>
      </w:pPr>
      <w:r>
        <w:t>2.2 Stack technologique</w:t>
      </w:r>
    </w:p>
    <w:p>
      <w:pPr>
        <w:pStyle w:val="Heading3"/>
      </w:pPr>
      <w:r>
        <w:t>2.2.1 Frontend (interface utilisateur)</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5.x</w:t>
            </w:r>
          </w:p>
        </w:tc>
        <w:tc>
          <w:tcPr>
            <w:tcW w:type="dxa" w:w="4649"/>
          </w:tcPr>
          <w:p>
            <w:r/>
            <w:r>
              <w:rPr>
                <w:b w:val="0"/>
                <w:sz w:val="19"/>
              </w:rPr>
              <w:t>Typage statique strict</w:t>
            </w:r>
          </w:p>
        </w:tc>
      </w:tr>
      <w:tr>
        <w:tc>
          <w:tcPr>
            <w:tcW w:type="dxa" w:w="2608"/>
          </w:tcPr>
          <w:p>
            <w:r/>
            <w:r>
              <w:rPr>
                <w:b w:val="0"/>
                <w:sz w:val="19"/>
              </w:rPr>
              <w:t>Vite</w:t>
            </w:r>
          </w:p>
        </w:tc>
        <w:tc>
          <w:tcPr>
            <w:tcW w:type="dxa" w:w="2268"/>
          </w:tcPr>
          <w:p>
            <w:r/>
            <w:r>
              <w:rPr>
                <w:b w:val="0"/>
                <w:sz w:val="19"/>
              </w:rPr>
              <w:t>5.x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2.x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4.x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w:t>
            </w:r>
          </w:p>
        </w:tc>
        <w:tc>
          <w:tcPr>
            <w:tcW w:type="dxa" w:w="4649"/>
          </w:tcPr>
          <w:p>
            <w:r/>
            <w:r>
              <w:rPr>
                <w:b w:val="0"/>
                <w:sz w:val="19"/>
              </w:rPr>
              <w:t>Tests unitaires et d'intégration</w:t>
            </w:r>
          </w:p>
        </w:tc>
      </w:tr>
    </w:tbl>
    <w:p/>
    <w:p>
      <w:pPr>
        <w:pStyle w:val="Heading3"/>
      </w:pPr>
      <w:r>
        <w:t>2.2.2 Backend (API et logique métier)</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11.x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8.3+</w:t>
            </w:r>
          </w:p>
        </w:tc>
        <w:tc>
          <w:tcPr>
            <w:tcW w:type="dxa" w:w="4195"/>
          </w:tcPr>
          <w:p>
            <w:r/>
            <w:r>
              <w:rPr>
                <w:b w:val="0"/>
                <w:sz w:val="19"/>
              </w:rPr>
              <w:t>Langage backend</w:t>
            </w:r>
          </w:p>
        </w:tc>
      </w:tr>
      <w:tr>
        <w:tc>
          <w:tcPr>
            <w:tcW w:type="dxa" w:w="3402"/>
          </w:tcPr>
          <w:p>
            <w:r/>
            <w:r>
              <w:rPr>
                <w:b w:val="0"/>
                <w:sz w:val="19"/>
              </w:rPr>
              <w:t>Laravel Sanctum</w:t>
            </w:r>
          </w:p>
        </w:tc>
        <w:tc>
          <w:tcPr>
            <w:tcW w:type="dxa" w:w="1928"/>
          </w:tcPr>
          <w:p>
            <w:r/>
            <w:r>
              <w:rPr>
                <w:b w:val="0"/>
                <w:sz w:val="19"/>
              </w:rPr>
              <w:t>—</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w:t>
            </w:r>
          </w:p>
        </w:tc>
        <w:tc>
          <w:tcPr>
            <w:tcW w:type="dxa" w:w="1928"/>
          </w:tcPr>
          <w:p>
            <w:r/>
            <w:r>
              <w:rPr>
                <w:b w:val="0"/>
                <w:sz w:val="19"/>
              </w:rPr>
              <w:t>—</w:t>
            </w:r>
          </w:p>
        </w:tc>
        <w:tc>
          <w:tcPr>
            <w:tcW w:type="dxa" w:w="4195"/>
          </w:tcPr>
          <w:p>
            <w:r/>
            <w:r>
              <w:rPr>
                <w:b w:val="0"/>
                <w:sz w:val="19"/>
              </w:rPr>
              <w:t>Génération des PDF (ordres de mission)</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w:t>
            </w:r>
          </w:p>
        </w:tc>
        <w:tc>
          <w:tcPr>
            <w:tcW w:type="dxa" w:w="4195"/>
          </w:tcPr>
          <w:p>
            <w:r/>
            <w:r>
              <w:rPr>
                <w:b w:val="0"/>
                <w:sz w:val="19"/>
              </w:rPr>
              <w:t>Tests (BDD/PHPUnit)</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missions, notifications)</w:t>
            </w:r>
          </w:p>
          <w:p>
            <w:r>
              <w:rPr>
                <w:rFonts w:ascii="Consolas" w:hAnsi="Consolas"/>
                <w:color w:val="FFFFFF"/>
                <w:sz w:val="18"/>
              </w:rPr>
              <w:t xml:space="preserve">    src/composables/       Logique réutilisable (useApi, useAuth, useMissions...)</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11</w:t>
            </w:r>
          </w:p>
          <w:p>
            <w:r>
              <w:rPr>
                <w:rFonts w:ascii="Consolas" w:hAnsi="Consolas"/>
                <w:color w:val="FFFFFF"/>
                <w:sz w:val="18"/>
              </w:rPr>
              <w:t xml:space="preserve">    app/Http/Controllers/Api/  Contrôleurs REST</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app/Jobs/              Tâches asynchrones (génération de lots, états)</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ook w:firstColumn="1" w:firstRow="1" w:lastColumn="0" w:lastRow="0" w:noHBand="0" w:noVBand="1" w:val="04A0"/>
      </w:tblPr>
      <w:tblGrid>
        <w:gridCol w:w="2880"/>
        <w:gridCol w:w="2880"/>
        <w:gridCol w:w="2880"/>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ordres_mission</w:t>
            </w:r>
          </w:p>
        </w:tc>
        <w:tc>
          <w:tcPr>
            <w:tcW w:type="dxa" w:w="5216"/>
          </w:tcPr>
          <w:p>
            <w:r/>
            <w:r>
              <w:rPr>
                <w:b w:val="0"/>
                <w:sz w:val="19"/>
              </w:rPr>
              <w:t>1 enregistrement = 1 bénéficiaire (réf. SEMO unique).</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récapitulatif d'une mission (1 par mission) : circuit +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fichier.</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bl>
    <w:p/>
    <w:p>
      <w:pPr>
        <w:pStyle w:val="Heading3"/>
      </w:pPr>
      <w:r>
        <w:t>2.4.2 Champs clés — OrdreMission</w:t>
      </w:r>
    </w:p>
    <w:tbl>
      <w:tblPr>
        <w:tblStyle w:val="TableGrid"/>
        <w:tblW w:type="auto" w:w="0"/>
        <w:jc w:val="center"/>
        <w:tblLook w:firstColumn="1" w:firstRow="1" w:lastColumn="0" w:lastRow="0" w:noHBand="0" w:noVBand="1" w:val="04A0"/>
      </w:tblPr>
      <w:tblGrid>
        <w:gridCol w:w="2880"/>
        <w:gridCol w:w="2880"/>
        <w:gridCol w:w="2880"/>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ORDRE_1 | ORDRE_2 | ORDRE_3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0,70) = 70 % ; reliquat = total − avance = 30 %.</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 la mission validé par le DG) → SOLDE. REJETE / ANNULE possibles.</w:t>
            </w:r>
          </w:p>
        </w:tc>
      </w:tr>
    </w:tbl>
    <w:p/>
    <w:p>
      <w:r>
        <w:rPr>
          <w:b w:val="0"/>
          <w:i/>
          <w:color w:val="4B5563"/>
        </w:rPr>
        <w:t>Le statut de l'OM ne transite pas par le circuit : il reste IMPORTE tout au long de la validation de l'état, et ne passe VALIDE (payable) qu'à la validation finale du DG.</w:t>
      </w:r>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ook w:firstColumn="1" w:firstRow="1" w:lastColumn="0" w:lastRow="0" w:noHBand="0" w:noVBand="1" w:val="04A0"/>
      </w:tblPr>
      <w:tblGrid>
        <w:gridCol w:w="2880"/>
        <w:gridCol w:w="2880"/>
        <w:gridCol w:w="2880"/>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w:t>
            </w:r>
          </w:p>
        </w:tc>
        <w:tc>
          <w:tcPr>
            <w:tcW w:type="dxa" w:w="4082"/>
          </w:tcPr>
          <w:p>
            <w:r/>
            <w:r>
              <w:rPr>
                <w:b w:val="0"/>
                <w:sz w:val="19"/>
              </w:rPr>
              <w:t>Génération fichiers MTN/Moov, confirmation.</w:t>
            </w:r>
          </w:p>
        </w:tc>
      </w:tr>
      <w:tr>
        <w:tc>
          <w:tcPr>
            <w:tcW w:type="dxa" w:w="2381"/>
          </w:tcPr>
          <w:p>
            <w:r/>
            <w:r>
              <w:rPr>
                <w:b w:val="0"/>
                <w:sz w:val="19"/>
              </w:rPr>
              <w:t>Barème per diem</w:t>
            </w:r>
          </w:p>
        </w:tc>
        <w:tc>
          <w:tcPr>
            <w:tcW w:type="dxa" w:w="3061"/>
          </w:tcPr>
          <w:p>
            <w:r/>
            <w:r>
              <w:rPr>
                <w:b w:val="0"/>
                <w:sz w:val="19"/>
              </w:rPr>
              <w:t>Tous (lecture)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ORDRE_1/2/3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w:t>
      </w:r>
    </w:p>
    <w:p>
      <w:pPr>
        <w:pStyle w:val="ListBullet"/>
      </w:pPr>
      <w:r>
        <w:t>Retranscription : assistant mission + N bénéficiaires (participants + CAV), per diem en temps réel.</w:t>
      </w:r>
    </w:p>
    <w:p>
      <w:pPr>
        <w:pStyle w:val="ListBullet"/>
      </w:pPr>
      <w:r>
        <w:t>Détail d'un OM : mission, bénéficiaire, montants, versements ; renvoie vers l'état de la mission (aucune action de circuit sur l'OM). Brouillon PDF de l'OM et historique d'audit.</w:t>
      </w:r>
    </w:p>
    <w:p>
      <w:pPr>
        <w:pStyle w:val="Heading2"/>
      </w:pPr>
      <w:r>
        <w:t>3.5 Module États de paiement</w:t>
      </w:r>
    </w:p>
    <w:p>
      <w:r>
        <w:rPr>
          <w:b w:val="0"/>
          <w:i w:val="0"/>
        </w:rPr>
        <w:t>Objet central du circuit de validation. Un état par mission ; c'est lui qui est contrôlé, visé par le DAF, puis validé par le Directeur Général.</w:t>
      </w:r>
    </w:p>
    <w:p>
      <w:pPr>
        <w:pStyle w:val="ListBullet"/>
      </w:pPr>
      <w:r>
        <w:t>File de travail : liste des états filtrable par statut, ouverte d'emblée sur la file de l'acteur.</w:t>
      </w:r>
    </w:p>
    <w:p>
      <w:pPr>
        <w:pStyle w:val="ListBullet"/>
      </w:pPr>
      <w:r>
        <w:t>Détail de l'état : montants (avance/reliquat/total), montant en lettres, frise du circuit, numérotation manuelle, actions (contrôler / viser / valider / rejeter / rafraîchir).</w:t>
      </w:r>
    </w:p>
    <w:p>
      <w:pPr>
        <w:pStyle w:val="ListBullet"/>
      </w:pPr>
      <w:r>
        <w:t>Brouillon PDF (filigrané, sans signature) puis état définitif PDF (signatures DAF + DG), paysage A4.</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par période.</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de la mission (un par mission), et non les OM pris séparément. Un seul geste par étape vaut pour tous les bénéficiaires.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 tous les OM → VALIDE (payables)</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finale du DG (propagation depuis l'état). 2) La génération d'un fichier vérifie en outre que l'état de la mission est VALIDE. Un OM resté IMPORTE n'apparaît pas parmi les bénéficiaires éligibles.</w:t>
            </w:r>
          </w:p>
        </w:tc>
      </w:tr>
    </w:tbl>
    <w:p/>
    <w:p>
      <w:r>
        <w:rPr>
          <w:b w:val="0"/>
          <w:i/>
          <w:color w:val="4B5563"/>
        </w:rPr>
        <w:t>Circuit OM par OM (reprise de données) : les routes /api/ordres/:id/valider|viser|approuver|rejeter subsistent pour corriger une mission dépourvue d'état ; elles sont refusées dès qu'un état existe.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clique « Confirmer » le lot.</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w:t>
            </w:r>
          </w:p>
        </w:tc>
        <w:tc>
          <w:tcPr>
            <w:tcW w:type="dxa" w:w="3288"/>
          </w:tcPr>
          <w:p>
            <w:r/>
            <w:r>
              <w:rPr>
                <w:b w:val="0"/>
                <w:sz w:val="19"/>
              </w:rPr>
              <w:t>Lot → ERREUR : régénération réautorisée</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 </w:t>
            </w:r>
            <w:r>
              <w:rPr>
                <w:sz w:val="20"/>
              </w:rPr>
              <w:t>Un versement CONFIRME n'est jamais réinclus dans un nouveau fichier (protection anti-double-paiement). La régénération n'est possible que tant que le lot n'est pas confirmé.</w:t>
            </w:r>
          </w:p>
        </w:tc>
      </w:tr>
    </w:tbl>
    <w:p/>
    <w:p>
      <w:pPr>
        <w:pStyle w:val="Heading2"/>
      </w:pPr>
      <w:r>
        <w:t>4.4 Génération de l'ordre de mission en PDF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et clique « Aperçu/Télécharger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Heading2"/>
      </w:pPr>
      <w:r>
        <w:t>4.5 Import en masse des agents (Excel / CSV)</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1"/>
      </w:pPr>
      <w:r>
        <w:t>5. Règles métier</w:t>
      </w:r>
    </w:p>
    <w:p>
      <w:pPr>
        <w:pStyle w:val="Heading2"/>
      </w:pPr>
      <w:r>
        <w:t>5.1 Calcul du per diem</w:t>
      </w:r>
    </w:p>
    <w:p>
      <w:r>
        <w:rPr>
          <w:b/>
          <w:i w:val="0"/>
        </w:rPr>
        <w:t>Montant total = taux journalier (catégorie × zone × type de prise en charge) × nombre de jours.</w:t>
      </w:r>
    </w:p>
    <w:p>
      <w:pPr>
        <w:pStyle w:val="ListBullet"/>
      </w:pPr>
      <w:r>
        <w:t>Nombre de jours : décompte inclusif des dates ; règle des 12 h (période ≥ 12 h = jour entier ; retour 0-12 h = rien).</w:t>
      </w:r>
    </w:p>
    <w:p>
      <w:pPr>
        <w:pStyle w:val="ListBullet"/>
      </w:pPr>
      <w:r>
        <w:t>Avance = round(montant total × 0,70) = 70 % ; Reliquat = montant total − avance = 30 %.</w:t>
      </w:r>
    </w:p>
    <w:p>
      <w:pPr>
        <w:pStyle w:val="ListBullet"/>
      </w:pPr>
      <w:r>
        <w:t>Exonération (prise en charge par un tiers) : tous les montants à 0, aucun versement créé.</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ook w:firstColumn="1" w:firstRow="1" w:lastColumn="0" w:lastRow="0" w:noHBand="0" w:noVBand="1" w:val="04A0"/>
      </w:tblPr>
      <w:tblGrid>
        <w:gridCol w:w="2880"/>
        <w:gridCol w:w="2880"/>
        <w:gridCol w:w="2880"/>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ORDRE_1</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ORDRE_2</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ORDRE_3</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ook w:firstColumn="1" w:firstRow="1" w:lastColumn="0" w:lastRow="0" w:noHBand="0" w:noVBand="1" w:val="04A0"/>
      </w:tblPr>
      <w:tblGrid>
        <w:gridCol w:w="2880"/>
        <w:gridCol w:w="2880"/>
        <w:gridCol w:w="2880"/>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sur l'état</w:t>
            </w:r>
          </w:p>
        </w:tc>
        <w:tc>
          <w:tcPr>
            <w:tcW w:type="dxa" w:w="5443"/>
          </w:tcPr>
          <w:p>
            <w:r/>
            <w:r>
              <w:rPr>
                <w:b w:val="0"/>
                <w:sz w:val="19"/>
              </w:rPr>
              <w:t>L'état de la mission passe BROUILLON → CONTROLE → VISA_DAF → VALIDE ; rejet motivé (≥ 10 car.).</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état VALIDE</w:t>
            </w:r>
          </w:p>
        </w:tc>
        <w:tc>
          <w:tcPr>
            <w:tcW w:type="dxa" w:w="5443"/>
          </w:tcPr>
          <w:p>
            <w:r/>
            <w:r>
              <w:rPr>
                <w:b w:val="0"/>
                <w:sz w:val="19"/>
              </w:rPr>
              <w:t>Les OM ne sont payables qu'après validation finale de l'état par le DG.</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n'est jamais réinclus.</w:t>
            </w:r>
          </w:p>
        </w:tc>
        <w:tc>
          <w:tcPr>
            <w:tcW w:type="dxa" w:w="2041"/>
          </w:tcPr>
          <w:p>
            <w:r/>
            <w:r>
              <w:rPr>
                <w:b w:val="0"/>
                <w:sz w:val="19"/>
              </w:rPr>
              <w:t>Paiement</w:t>
            </w:r>
          </w:p>
        </w:tc>
      </w:tr>
    </w:tbl>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Heading2"/>
      </w:pPr>
      <w:r>
        <w:t>6.4 Audit et traçabilité</w:t>
      </w:r>
    </w:p>
    <w:p>
      <w:r>
        <w:rPr>
          <w:b w:val="0"/>
          <w:i w:val="0"/>
        </w:rPr>
        <w:t>Les actions sensibles sont enregistrées dans audit_logs :</w:t>
      </w:r>
    </w:p>
    <w:tbl>
      <w:tblPr>
        <w:tblStyle w:val="TableGrid"/>
        <w:tblW w:type="auto" w:w="0"/>
        <w:jc w:val="center"/>
        <w:tblLook w:firstColumn="1" w:firstRow="1" w:lastColumn="0" w:lastRow="0" w:noHBand="0" w:noVBand="1" w:val="04A0"/>
      </w:tblPr>
      <w:tblGrid>
        <w:gridCol w:w="4320"/>
        <w:gridCol w:w="4320"/>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w:t>
            </w:r>
          </w:p>
        </w:tc>
      </w:tr>
      <w:tr>
        <w:tc>
          <w:tcPr>
            <w:tcW w:type="dxa" w:w="2608"/>
          </w:tcPr>
          <w:p>
            <w:r/>
            <w:r>
              <w:rPr>
                <w:b w:val="0"/>
                <w:sz w:val="19"/>
              </w:rPr>
              <w:t>action</w:t>
            </w:r>
          </w:p>
        </w:tc>
        <w:tc>
          <w:tcPr>
            <w:tcW w:type="dxa" w:w="6917"/>
          </w:tcPr>
          <w:p>
            <w:r/>
            <w:r>
              <w:rPr>
                <w:b w:val="0"/>
                <w:sz w:val="19"/>
              </w:rPr>
              <w:t>Type d'action (CREATE, UPDATE, VALIDATE, REJECT, GENERATE, CONFIRM...).</w:t>
            </w:r>
          </w:p>
        </w:tc>
      </w:tr>
      <w:tr>
        <w:tc>
          <w:tcPr>
            <w:tcW w:type="dxa" w:w="2608"/>
          </w:tcPr>
          <w:p>
            <w:r/>
            <w:r>
              <w:rPr>
                <w:b w:val="0"/>
                <w:sz w:val="19"/>
              </w:rPr>
              <w:t>model_type / model_id</w:t>
            </w:r>
          </w:p>
        </w:tc>
        <w:tc>
          <w:tcPr>
            <w:tcW w:type="dxa" w:w="6917"/>
          </w:tcPr>
          <w:p>
            <w:r/>
            <w:r>
              <w:rPr>
                <w:b w:val="0"/>
                <w:sz w:val="19"/>
              </w:rPr>
              <w:t>Entité concernée et son identifiant.</w:t>
            </w:r>
          </w:p>
        </w:tc>
      </w:tr>
      <w:tr>
        <w:tc>
          <w:tcPr>
            <w:tcW w:type="dxa" w:w="2608"/>
          </w:tcPr>
          <w:p>
            <w:r/>
            <w:r>
              <w:rPr>
                <w:b w:val="0"/>
                <w:sz w:val="19"/>
              </w:rPr>
              <w:t>old_values / new_values</w:t>
            </w:r>
          </w:p>
        </w:tc>
        <w:tc>
          <w:tcPr>
            <w:tcW w:type="dxa" w:w="6917"/>
          </w:tcPr>
          <w:p>
            <w:r/>
            <w:r>
              <w:rPr>
                <w:b w:val="0"/>
                <w:sz w:val="19"/>
              </w:rPr>
              <w:t>Valeurs avant / après (JSON).</w:t>
            </w:r>
          </w:p>
        </w:tc>
      </w:tr>
      <w:tr>
        <w:tc>
          <w:tcPr>
            <w:tcW w:type="dxa" w:w="2608"/>
          </w:tcPr>
          <w:p>
            <w:r/>
            <w:r>
              <w:rPr>
                <w:b w:val="0"/>
                <w:sz w:val="19"/>
              </w:rPr>
              <w:t>ip_address / user_agent</w:t>
            </w:r>
          </w:p>
        </w:tc>
        <w:tc>
          <w:tcPr>
            <w:tcW w:type="dxa" w:w="6917"/>
          </w:tcPr>
          <w:p>
            <w:r/>
            <w:r>
              <w:rPr>
                <w:b w:val="0"/>
                <w:sz w:val="19"/>
              </w:rPr>
              <w:t>Origine de la requête.</w:t>
            </w:r>
          </w:p>
        </w:tc>
      </w:tr>
      <w:tr>
        <w:tc>
          <w:tcPr>
            <w:tcW w:type="dxa" w:w="2608"/>
          </w:tcPr>
          <w:p>
            <w:r/>
            <w:r>
              <w:rPr>
                <w:b w:val="0"/>
                <w:sz w:val="19"/>
              </w:rPr>
              <w:t>created_at</w:t>
            </w:r>
          </w:p>
        </w:tc>
        <w:tc>
          <w:tcPr>
            <w:tcW w:type="dxa" w:w="6917"/>
          </w:tcPr>
          <w:p>
            <w:r/>
            <w:r>
              <w:rPr>
                <w:b w:val="0"/>
                <w:sz w:val="19"/>
              </w:rPr>
              <w:t>Horodatage précis.</w:t>
            </w:r>
          </w:p>
        </w:tc>
      </w:tr>
    </w:tbl>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w:t>
            </w:r>
          </w:p>
        </w:tc>
      </w:tr>
    </w:tbl>
    <w:p/>
    <w:p>
      <w:pPr>
        <w:pStyle w:val="Heading2"/>
      </w:pPr>
      <w:r>
        <w:t>7.2 Authentification &amp; compte</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 état (om.consulter)</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 détail d'un OM</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(om.consulter)</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 de la mission (null si pas de récapitulatif)</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en BROUILLON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brouillon (filigrané) / définitif</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OM payables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(OM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(régénération autorisée)</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bl>
    <w:p/>
    <w:p>
      <w:pPr>
        <w:pStyle w:val="Heading2"/>
      </w:pPr>
      <w:r>
        <w:t>7.5 Barème, rapports, audit &amp; administration</w:t>
      </w:r>
    </w:p>
    <w:tbl>
      <w:tblPr>
        <w:tblStyle w:val="TableGrid"/>
        <w:tblW w:type="auto" w:w="0"/>
        <w:jc w:val="center"/>
        <w:tblLook w:firstColumn="1" w:firstRow="1" w:lastColumn="0" w:lastRow="0" w:noHBand="0" w:noVBand="1" w:val="04A0"/>
      </w:tblPr>
      <w:tblGrid>
        <w:gridCol w:w="2880"/>
        <w:gridCol w:w="2880"/>
        <w:gridCol w:w="2880"/>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(tous) / modification (baremes.modifier)</w:t>
            </w:r>
          </w:p>
        </w:tc>
      </w:tr>
      <w:tr>
        <w:tc>
          <w:tcPr>
            <w:tcW w:type="dxa" w:w="1361"/>
          </w:tcPr>
          <w:p>
            <w:r/>
            <w:r>
              <w:rPr>
                <w:b w:val="0"/>
                <w:sz w:val="19"/>
              </w:rPr>
              <w:t>GET</w:t>
            </w:r>
          </w:p>
        </w:tc>
        <w:tc>
          <w:tcPr>
            <w:tcW w:type="dxa" w:w="4535"/>
          </w:tcPr>
          <w:p>
            <w:r/>
            <w:r>
              <w:rPr>
                <w:b w:val="0"/>
                <w:sz w:val="19"/>
              </w:rPr>
              <w:t>/api/rapports/{mensuel|agents|operateurs|zones|imputations}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w:t>
            </w:r>
          </w:p>
        </w:tc>
        <w:tc>
          <w:tcPr>
            <w:tcW w:type="dxa" w:w="3628"/>
          </w:tcPr>
          <w:p>
            <w:r/>
            <w:r>
              <w:rPr>
                <w:b w:val="0"/>
                <w:sz w:val="19"/>
              </w:rPr>
              <w:t>Export xlsx/pdf (immédiat ou en file)</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w:t>
            </w:r>
          </w:p>
        </w:tc>
      </w:tr>
      <w:tr>
        <w:tc>
          <w:tcPr>
            <w:tcW w:type="dxa" w:w="1361"/>
          </w:tcPr>
          <w:p>
            <w:r/>
            <w:r>
              <w:rPr>
                <w:b w:val="0"/>
                <w:sz w:val="19"/>
              </w:rPr>
              <w:t>—</w:t>
            </w:r>
          </w:p>
        </w:tc>
        <w:tc>
          <w:tcPr>
            <w:tcW w:type="dxa" w:w="4535"/>
          </w:tcPr>
          <w:p>
            <w:r/>
            <w:r>
              <w:rPr>
                <w:b w:val="0"/>
                <w:sz w:val="19"/>
              </w:rPr>
              <w:t>/api/admin/{settings|backups}</w:t>
            </w:r>
          </w:p>
        </w:tc>
        <w:tc>
          <w:tcPr>
            <w:tcW w:type="dxa" w:w="3628"/>
          </w:tcPr>
          <w:p>
            <w:r/>
            <w:r>
              <w:rPr>
                <w:b w:val="0"/>
                <w:sz w:val="19"/>
              </w:rPr>
              <w:t>Paramètres &amp; sauvegardes (parametres.gerer)</w:t>
            </w:r>
          </w:p>
        </w:tc>
      </w:tr>
    </w:tbl>
    <w:p/>
    <w:p>
      <w:pPr>
        <w:pStyle w:val="Heading2"/>
      </w:pPr>
      <w:r>
        <w:t>7.6 Codes de réponse HTTP</w:t>
      </w:r>
    </w:p>
    <w:tbl>
      <w:tblPr>
        <w:tblStyle w:val="TableGrid"/>
        <w:tblW w:type="auto" w:w="0"/>
        <w:jc w:val="center"/>
        <w:tblLook w:firstColumn="1" w:firstRow="1" w:lastColumn="0" w:lastRow="0" w:noHBand="0" w:noVBand="1" w:val="04A0"/>
      </w:tblPr>
      <w:tblGrid>
        <w:gridCol w:w="2880"/>
        <w:gridCol w:w="2880"/>
        <w:gridCol w:w="2880"/>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ou Docker Compose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Usage opérationnel ANaTT</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ook w:firstColumn="1" w:firstRow="1" w:lastColumn="0" w:lastRow="0" w:noHBand="0" w:noVBand="1" w:val="04A0"/>
      </w:tblPr>
      <w:tblGrid>
        <w:gridCol w:w="4320"/>
        <w:gridCol w:w="4320"/>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 database » pour fonctionner sans Redis</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--tries=3   # générations asynchrones (lots, états)</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Docker (alternative dev)</w:t>
            </w:r>
          </w:p>
          <w:p>
            <w:r>
              <w:rPr>
                <w:rFonts w:ascii="Consolas" w:hAnsi="Consolas"/>
                <w:color w:val="FFFFFF"/>
                <w:sz w:val="18"/>
              </w:rPr>
              <w:t>docker-compose up -d</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lecteur@anatt.bj. Ces comptes ne sont JAMAIS créés en production.</w:t>
      </w:r>
    </w:p>
    <w:p>
      <w:r>
        <w:br w:type="page"/>
      </w:r>
    </w:p>
    <w:p>
      <w:pPr>
        <w:pStyle w:val="Heading1"/>
      </w:pPr>
      <w:r>
        <w:t>Annexe A — Barème officiel (FCFA / jour)</w:t>
      </w:r>
    </w:p>
    <w:p>
      <w:pPr>
        <w:pStyle w:val="Heading2"/>
      </w:pPr>
      <w:r>
        <w:t>Zone INTERIEUR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ORDRE_1</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ORDRE_2</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ORDRE_3</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ORDRE_1</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ORDRE_2</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ORDRE_3</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ORDRE_1</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ORDRE_2</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ORDRE_3</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ook w:firstColumn="1" w:firstRow="1" w:lastColumn="0" w:lastRow="0" w:noHBand="0" w:noVBand="1" w:val="04A0"/>
      </w:tblPr>
      <w:tblGrid>
        <w:gridCol w:w="4320"/>
        <w:gridCol w:w="4320"/>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30 %.</w:t>
            </w:r>
          </w:p>
        </w:tc>
      </w:tr>
      <w:tr>
        <w:tc>
          <w:tcPr>
            <w:tcW w:type="dxa" w:w="2381"/>
          </w:tcPr>
          <w:p>
            <w:r/>
            <w:r>
              <w:rPr>
                <w:b w:val="0"/>
                <w:sz w:val="19"/>
              </w:rPr>
              <w:t>État de paiement</w:t>
            </w:r>
          </w:p>
        </w:tc>
        <w:tc>
          <w:tcPr>
            <w:tcW w:type="dxa" w:w="7143"/>
          </w:tcPr>
          <w:p>
            <w:r/>
            <w:r>
              <w:rPr>
                <w:b w:val="0"/>
                <w:sz w:val="19"/>
              </w:rPr>
              <w:t>Document récapitulatif d'une mission (1 par mission) portant le circuit et les signatures.</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