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(26-29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passée le 29/10 de 3.6.0-beta.9 à 3.5.44 stable, épinglée.</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21 le 29/10). Pest 690, Vitest 210 (702 / 241 le 29/10, après la dette).</w:t>
            </w:r>
          </w:p>
        </w:tc>
        <w:tc>
          <w:tcPr>
            <w:tcW w:type="dxa" w:w="1474"/>
          </w:tcPr>
          <w:p>
            <w:r/>
            <w:r>
              <w:rPr>
                <w:b w:val="0"/>
                <w:sz w:val="19"/>
              </w:rPr>
              <w:t>§7.6, §9.6</w:t>
            </w:r>
          </w:p>
        </w:tc>
      </w:tr>
      <w:tr>
        <w:tc>
          <w:tcPr>
            <w:tcW w:type="dxa" w:w="2041"/>
          </w:tcPr>
          <w:p>
            <w:r/>
            <w:r>
              <w:rPr>
                <w:b w:val="0"/>
                <w:sz w:val="19"/>
              </w:rPr>
              <w:t>Textes accentués (29/10)</w:t>
            </w:r>
          </w:p>
        </w:tc>
        <w:tc>
          <w:tcPr>
            <w:tcW w:type="dxa" w:w="6009"/>
          </w:tcPr>
          <w:p>
            <w:r/>
            <w:r>
              <w:rPr>
                <w:b w:val="0"/>
                <w:sz w:val="19"/>
              </w:rPr>
              <w:t>Douze écrans (pages 403, 404, 500, maintenance, connexion, mot de passe, utilisateurs, sauvegardes…) et six messages de l'API (« Agent créé avec succès. »…) rédigés sans accents (n° 48). Sur la page 404, une même icône tronquée pour les trois raccourcis et « Dashboard » en anglais (n° 49). pages-systeme.spec.ts.</w:t>
            </w:r>
          </w:p>
        </w:tc>
        <w:tc>
          <w:tcPr>
            <w:tcW w:type="dxa" w:w="1474"/>
          </w:tcPr>
          <w:p>
            <w:r/>
            <w:r>
              <w:rPr>
                <w:b w:val="0"/>
                <w:sz w:val="19"/>
              </w:rPr>
              <w:t>§3, §10</w:t>
            </w:r>
          </w:p>
        </w:tc>
      </w:tr>
      <w:tr>
        <w:tc>
          <w:tcPr>
            <w:tcW w:type="dxa" w:w="2041"/>
          </w:tcPr>
          <w:p>
            <w:r/>
            <w:r>
              <w:rPr>
                <w:b w:val="0"/>
                <w:sz w:val="19"/>
              </w:rPr>
              <w:t>Galerie et scénario (29/10)</w:t>
            </w:r>
          </w:p>
        </w:tc>
        <w:tc>
          <w:tcPr>
            <w:tcW w:type="dxa" w:w="6009"/>
          </w:tcPr>
          <w:p>
            <w:r/>
            <w:r>
              <w:rPr>
                <w:b w:val="0"/>
                <w:sz w:val="19"/>
              </w:rPr>
              <w:t>Galerie recapturée (46 écrans ; navigateur de capture en LANG=fr_FR.UTF-8, dates dd/mm/yyyy) ; scénario de démonstration rejoué sur l'API réelle, montants inchangés, étape A corrigée (indice ou salaire brut exigé, catégorie déduite).</w:t>
            </w:r>
          </w:p>
        </w:tc>
        <w:tc>
          <w:tcPr>
            <w:tcW w:type="dxa" w:w="1474"/>
          </w:tcPr>
          <w:p>
            <w:r/>
            <w:r>
              <w:rPr>
                <w:b w:val="0"/>
                <w:sz w:val="19"/>
              </w:rPr>
              <w:t>§10, §11</w:t>
            </w:r>
          </w:p>
        </w:tc>
      </w:tr>
      <w:tr>
        <w:tc>
          <w:tcPr>
            <w:tcW w:type="dxa" w:w="2041"/>
          </w:tcPr>
          <w:p>
            <w:r/>
            <w:r>
              <w:rPr>
                <w:b w:val="0"/>
                <w:sz w:val="19"/>
              </w:rPr>
              <w:t>Dette soldée (29/10)</w:t>
            </w:r>
          </w:p>
        </w:tc>
        <w:tc>
          <w:tcPr>
            <w:tcW w:type="dxa" w:w="6009"/>
          </w:tcPr>
          <w:p>
            <w:r/>
            <w:r>
              <w:rPr>
                <w:b w:val="0"/>
                <w:sz w:val="19"/>
              </w:rPr>
              <w:t>Vue 3.5.44 stable épinglée (sortie de la 3.6 bêta). Tests des correctifs restés sans test (minuteurs, maintenance, garde de route : 20 Vitest) ; groupe Pest mysql (9 tests) et job CI sur MySQL 8 ; recette sur l'API réelle versionnée (scripts/recette/, 273 contrôles) et exécutée en CI. Défauts relevés en chemin et corrigés : barème et exports au message générique (n° 50), start-dev.ps1 non ASCII (n° 51), crochets d'AppNavProgress (n° 52), sauvegardes de la même seconde qui s'écrasaient (n° 53), motif d'un agent sans indice (n° 54), motif mal accordé des dates (n° 55).</w:t>
            </w:r>
          </w:p>
        </w:tc>
        <w:tc>
          <w:tcPr>
            <w:tcW w:type="dxa" w:w="1474"/>
          </w:tcPr>
          <w:p>
            <w:r/>
            <w:r>
              <w:rPr>
                <w:b w:val="0"/>
                <w:sz w:val="19"/>
              </w:rPr>
              <w:t>§4.1, §4.7, §10, §11</w:t>
            </w:r>
          </w:p>
        </w:tc>
      </w:tr>
      <w:tr>
        <w:tc>
          <w:tcPr>
            <w:tcW w:type="dxa" w:w="2041"/>
          </w:tcPr>
          <w:p>
            <w:r/>
            <w:r>
              <w:rPr>
                <w:b w:val="0"/>
                <w:sz w:val="19"/>
              </w:rPr>
              <w:t>Documents après la dette (29/10)</w:t>
            </w:r>
          </w:p>
        </w:tc>
        <w:tc>
          <w:tcPr>
            <w:tcW w:type="dxa" w:w="6009"/>
          </w:tcPr>
          <w:p>
            <w:r/>
            <w:r>
              <w:rPr>
                <w:b w:val="0"/>
                <w:sz w:val="19"/>
              </w:rPr>
              <w:t>Guide utilisateur, scénario de démonstration (rejoué sur MariaDB : 119 contrôles) et README à jour ; galerie recapturée avec le SPA en Vue 3.5.44 (rendu identique), le script de capture attendant désormais les polices Sora et DM Sans.</w:t>
            </w:r>
          </w:p>
        </w:tc>
        <w:tc>
          <w:tcPr>
            <w:tcW w:type="dxa" w:w="1474"/>
          </w:tcPr>
          <w:p>
            <w:r/>
            <w:r>
              <w:rPr>
                <w:b w:val="0"/>
                <w:sz w:val="19"/>
              </w:rPr>
              <w:t>§2.3, §10</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3.5.44 stable (Composition API)</w:t>
            </w:r>
          </w:p>
        </w:tc>
        <w:tc>
          <w:tcPr>
            <w:tcW w:type="dxa" w:w="4649"/>
          </w:tcPr>
          <w:p>
            <w:r/>
            <w:r>
              <w:rPr>
                <w:b w:val="0"/>
                <w:sz w:val="19"/>
              </w:rPr>
              <w:t>Framework JavaScript principal — version épinglée (sortie de la 3.6 bêta le 29/10/2026)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tests/{Feature,Unit,Mysql}  Pest (Mysql : groupe mysql sur un vrai MySQL, ignoré ailleurs)</w:t>
            </w:r>
          </w:p>
          <w:p>
            <w:r>
              <w:rPr>
                <w:rFonts w:ascii="Consolas" w:hAnsi="Consolas"/>
                <w:color w:val="FFFFFF"/>
                <w:sz w:val="18"/>
              </w:rPr>
              <w:t xml:space="preserve">  scripts/recette/         Rejeu du scénario de démo + recette transverse sur l'API réelle (CI)</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 ; l'un des deux est exigé (422 sinon : « L'indice ou le salaire brut est requis pour déterminer la catégorie. »).</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 ; dates inversées refusées (422 « La date de retour doit être postérieure ou égale à la date de départ. »)</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 (suffixe -2, -3… si le nom est pris : deux sauvegardes de la même seconde ne s'écrasent pas)</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ListBullet"/>
      </w:pPr>
      <w:r>
        <w:t>Vérifié en CI sur MySQL 8 (tests/Mysql, job « Backend · Pest MySQL ») : aller-retour db:backup / db:restore réel, sauvegarde de sécurité elle-même restaurable, purge de la matrice, dump invalide (erreur du client affichée, cache intact), tri des sauvegardes. Reste à l'éprouver une fois avec les binaires et les droits de l'hébergeur.</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versions exactes du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55) : code seul, aucune migration de plus. Le SPA se reconstruit en Vue 3.5.44 (npm ci ; dist/ à redéployer comme d'habitude).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702 tests (79 fichiers) : 693 sur SQLite + 9 sur MySQL réel</w:t>
            </w:r>
          </w:p>
        </w:tc>
      </w:tr>
      <w:tr>
        <w:tc>
          <w:tcPr>
            <w:tcW w:type="dxa" w:w="1814"/>
          </w:tcPr>
          <w:p>
            <w:r/>
            <w:r>
              <w:rPr>
                <w:b w:val="0"/>
                <w:sz w:val="19"/>
              </w:rPr>
              <w:t>Intégrité MySQL</w:t>
            </w:r>
          </w:p>
        </w:tc>
        <w:tc>
          <w:tcPr>
            <w:tcW w:type="dxa" w:w="2381"/>
          </w:tcPr>
          <w:p>
            <w:r/>
            <w:r>
              <w:rPr>
                <w:b w:val="0"/>
                <w:sz w:val="19"/>
              </w:rPr>
              <w:t>Pest — tests/Mysql (groupe mysql)</w:t>
            </w:r>
          </w:p>
        </w:tc>
        <w:tc>
          <w:tcPr>
            <w:tcW w:type="dxa" w:w="3742"/>
          </w:tcPr>
          <w:p>
            <w:r/>
            <w:r>
              <w:rPr>
                <w:b w:val="0"/>
                <w:sz w:val="19"/>
              </w:rPr>
              <w:t>db:backup / db:restore réels (aller-retour, sauvegarde de sécurité, purge de la matrice, dump invalide), tri des sauvegardes, verrou lockForUpdate de l'amendement</w:t>
            </w:r>
          </w:p>
        </w:tc>
        <w:tc>
          <w:tcPr>
            <w:tcW w:type="dxa" w:w="1587"/>
          </w:tcPr>
          <w:p>
            <w:r/>
            <w:r>
              <w:rPr>
                <w:b w:val="0"/>
                <w:sz w:val="19"/>
              </w:rPr>
              <w:t>9 tests (job CI sur MySQL 8)</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 minuteurs, page de maintenance</w:t>
            </w:r>
          </w:p>
        </w:tc>
        <w:tc>
          <w:tcPr>
            <w:tcW w:type="dxa" w:w="1587"/>
          </w:tcPr>
          <w:p>
            <w:r/>
            <w:r>
              <w:rPr>
                <w:b w:val="0"/>
                <w:sz w:val="19"/>
              </w:rPr>
              <w:t>241 tests</w:t>
            </w:r>
          </w:p>
        </w:tc>
      </w:tr>
      <w:tr>
        <w:tc>
          <w:tcPr>
            <w:tcW w:type="dxa" w:w="1814"/>
          </w:tcPr>
          <w:p>
            <w:r/>
            <w:r>
              <w:rPr>
                <w:b w:val="0"/>
                <w:sz w:val="19"/>
              </w:rPr>
              <w:t>Recette API réelle</w:t>
            </w:r>
          </w:p>
        </w:tc>
        <w:tc>
          <w:tcPr>
            <w:tcW w:type="dxa" w:w="2381"/>
          </w:tcPr>
          <w:p>
            <w:r/>
            <w:r>
              <w:rPr>
                <w:b w:val="0"/>
                <w:sz w:val="19"/>
              </w:rPr>
              <w:t>scripts/recette (Node, sans dépendance)</w:t>
            </w:r>
          </w:p>
        </w:tc>
        <w:tc>
          <w:tcPr>
            <w:tcW w:type="dxa" w:w="3742"/>
          </w:tcPr>
          <w:p>
            <w:r/>
            <w:r>
              <w:rPr>
                <w:b w:val="0"/>
                <w:sz w:val="19"/>
              </w:rPr>
              <w:t>Rejeu du scénario de démonstration (119 contrôles) puis recette transverse : RBAC, erreurs JSON, fichiers MTN/Moov octet par octet, idempotence, lots complémentaires, régularisations (154)</w:t>
            </w:r>
          </w:p>
        </w:tc>
        <w:tc>
          <w:tcPr>
            <w:tcW w:type="dxa" w:w="1587"/>
          </w:tcPr>
          <w:p>
            <w:r/>
            <w:r>
              <w:rPr>
                <w:b w:val="0"/>
                <w:sz w:val="19"/>
              </w:rPr>
              <w:t>273 contrôles (job CI)</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 Le 29/10, scénario complet rejoué de nouveau (MariaDB, base neuve, QUEUE_CONNECTION=sync) : état des avances 805 000, aperçus MTN 406 000 et Moov 399 000 ; refus vérifiés avec leur motif en français (agent en double, séparation des tâches, numéro manquant). Depuis le 29/10, ce rejeu et la recette transverse sont versionnés (scripts/recette/) et exécutés à chaque PR (job « Recette · API réelle », API servie par php artisan serve sur une base neuve).</w:t>
      </w:r>
    </w:p>
    <w:p>
      <w:pPr>
        <w:pStyle w:val="ListBullet"/>
      </w:pPr>
      <w:r>
        <w:t>Défauts relevés par la revue d'octobre 2026 : 32, puis 23 de plus du 27 au 29/10 (n° 33 à 55, en confrontant la documentation au code et à l'interface, puis en soldant la dette technique),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(SQLite), Pest MySQL, Vitest + type-check, Playwright, Recette · API réelle, build dist.</w:t>
      </w:r>
    </w:p>
    <w:p>
      <w:r>
        <w:br w:type="page"/>
      </w:r>
    </w:p>
    <w:p>
      <w:pPr>
        <w:pStyle w:val="Heading1"/>
      </w:pPr>
      <w:r>
        <w:t>11. État du projet et reste à faire (29/10/2026)</w:t>
      </w:r>
    </w:p>
    <w:p>
      <w:r>
        <w:rPr>
          <w:b w:val="0"/>
          <w:i w:val="0"/>
        </w:rPr>
        <w:t>Le développement est terminé : 55 défauts relevés par la revue d'octobre 2026, la relecture des documents et la résorption de la dette (n° 1 à 55), tous corrigés avec un test ; quatre décisions (D1 à D4) appliquées ; dette technique soldée ; aucune décision en attente. Tous les documents sont confrontés au code (détail et cartographie : docs/revue-projet-2026-10.md §8).</w:t>
      </w:r>
    </w:p>
    <w:tbl>
      <w:tblPr>
        <w:tblStyle w:val="TableGrid"/>
        <w:tblW w:type="auto" w:w="0"/>
        <w:jc w:val="center"/>
        <w:tblLayout w:type="fixed"/>
        <w:tblLook w:firstColumn="1" w:firstRow="1" w:lastColumn="0" w:lastRow="0" w:noHBand="0" w:noVBand="1" w:val="04A0"/>
      </w:tblPr>
      <w:tblGrid>
        <w:gridCol w:w="2948"/>
        <w:gridCol w:w="6576"/>
      </w:tblGrid>
      <w:tr>
        <w:tc>
          <w:tcPr>
            <w:tcW w:type="dxa" w:w="2948"/>
            <w:shd w:val="clear" w:fill="1D9E4F"/>
          </w:tcPr>
          <w:p>
            <w:r/>
            <w:r>
              <w:rPr>
                <w:b/>
                <w:color w:val="FFFFFF"/>
                <w:sz w:val="20"/>
              </w:rPr>
              <w:t>Indicateur</w:t>
            </w:r>
          </w:p>
        </w:tc>
        <w:tc>
          <w:tcPr>
            <w:tcW w:type="dxa" w:w="6576"/>
            <w:shd w:val="clear" w:fill="1D9E4F"/>
          </w:tcPr>
          <w:p>
            <w:r/>
            <w:r>
              <w:rPr>
                <w:b/>
                <w:color w:val="FFFFFF"/>
                <w:sz w:val="20"/>
              </w:rPr>
              <w:t>Valeur au 29/10/2026</w:t>
            </w:r>
          </w:p>
        </w:tc>
      </w:tr>
      <w:tr>
        <w:tc>
          <w:tcPr>
            <w:tcW w:type="dxa" w:w="2948"/>
          </w:tcPr>
          <w:p>
            <w:r/>
            <w:r>
              <w:rPr>
                <w:b w:val="0"/>
                <w:sz w:val="19"/>
              </w:rPr>
              <w:t>Tests backend (Pest)</w:t>
            </w:r>
          </w:p>
        </w:tc>
        <w:tc>
          <w:tcPr>
            <w:tcW w:type="dxa" w:w="6576"/>
          </w:tcPr>
          <w:p>
            <w:r/>
            <w:r>
              <w:rPr>
                <w:b w:val="0"/>
                <w:sz w:val="19"/>
              </w:rPr>
              <w:t>702 tests, 79 fichiers — API complète sur SQLite (693), contrat OpenAPI vérifié ; sauvegarde, restauration et verrous sur MySQL réel (9)</w:t>
            </w:r>
          </w:p>
        </w:tc>
      </w:tr>
      <w:tr>
        <w:tc>
          <w:tcPr>
            <w:tcW w:type="dxa" w:w="2948"/>
          </w:tcPr>
          <w:p>
            <w:r/>
            <w:r>
              <w:rPr>
                <w:b w:val="0"/>
                <w:sz w:val="19"/>
              </w:rPr>
              <w:t>Tests frontend (Vitest)</w:t>
            </w:r>
          </w:p>
        </w:tc>
        <w:tc>
          <w:tcPr>
            <w:tcW w:type="dxa" w:w="6576"/>
          </w:tcPr>
          <w:p>
            <w:r/>
            <w:r>
              <w:rPr>
                <w:b w:val="0"/>
                <w:sz w:val="19"/>
              </w:rPr>
              <w:t>241 tests, 48 fichiers — vues, services, stores, navigation ↔ permissions</w:t>
            </w:r>
          </w:p>
        </w:tc>
      </w:tr>
      <w:tr>
        <w:tc>
          <w:tcPr>
            <w:tcW w:type="dxa" w:w="2948"/>
          </w:tcPr>
          <w:p>
            <w:r/>
            <w:r>
              <w:rPr>
                <w:b w:val="0"/>
                <w:sz w:val="19"/>
              </w:rPr>
              <w:t>Recette sur l'API réelle</w:t>
            </w:r>
          </w:p>
        </w:tc>
        <w:tc>
          <w:tcPr>
            <w:tcW w:type="dxa" w:w="6576"/>
          </w:tcPr>
          <w:p>
            <w:r/>
            <w:r>
              <w:rPr>
                <w:b w:val="0"/>
                <w:sz w:val="19"/>
              </w:rPr>
              <w:t>273 contrôles en CI (rejeu du scénario 119 + recette transverse 154)</w:t>
            </w:r>
          </w:p>
        </w:tc>
      </w:tr>
      <w:tr>
        <w:tc>
          <w:tcPr>
            <w:tcW w:type="dxa" w:w="2948"/>
          </w:tcPr>
          <w:p>
            <w:r/>
            <w:r>
              <w:rPr>
                <w:b w:val="0"/>
                <w:sz w:val="19"/>
              </w:rPr>
              <w:t>Tests de bout en bout (Playwright)</w:t>
            </w:r>
          </w:p>
        </w:tc>
        <w:tc>
          <w:tcPr>
            <w:tcW w:type="dxa" w:w="6576"/>
          </w:tcPr>
          <w:p>
            <w:r/>
            <w:r>
              <w:rPr>
                <w:b w:val="0"/>
                <w:sz w:val="19"/>
              </w:rPr>
              <w:t>3 parcours critiques</w:t>
            </w:r>
          </w:p>
        </w:tc>
      </w:tr>
      <w:tr>
        <w:tc>
          <w:tcPr>
            <w:tcW w:type="dxa" w:w="2948"/>
          </w:tcPr>
          <w:p>
            <w:r/>
            <w:r>
              <w:rPr>
                <w:b w:val="0"/>
                <w:sz w:val="19"/>
              </w:rPr>
              <w:t>Scénario de démonstration</w:t>
            </w:r>
          </w:p>
        </w:tc>
        <w:tc>
          <w:tcPr>
            <w:tcW w:type="dxa" w:w="6576"/>
          </w:tcPr>
          <w:p>
            <w:r/>
            <w:r>
              <w:rPr>
                <w:b w:val="0"/>
                <w:sz w:val="19"/>
              </w:rPr>
              <w:t>Rejoué automatiquement à chaque PR (scripts/recette/rejeu-scenario.cjs), montants et fichiers inchangés</w:t>
            </w:r>
          </w:p>
        </w:tc>
      </w:tr>
      <w:tr>
        <w:tc>
          <w:tcPr>
            <w:tcW w:type="dxa" w:w="2948"/>
          </w:tcPr>
          <w:p>
            <w:r/>
            <w:r>
              <w:rPr>
                <w:b w:val="0"/>
                <w:sz w:val="19"/>
              </w:rPr>
              <w:t>Galerie des écrans</w:t>
            </w:r>
          </w:p>
        </w:tc>
        <w:tc>
          <w:tcPr>
            <w:tcW w:type="dxa" w:w="6576"/>
          </w:tcPr>
          <w:p>
            <w:r/>
            <w:r>
              <w:rPr>
                <w:b w:val="0"/>
                <w:sz w:val="19"/>
              </w:rPr>
              <w:t>46 écrans recapturés le 29/10 avec le SPA en Vue 3.5.44 ; 53 pages</w:t>
            </w:r>
          </w:p>
        </w:tc>
      </w:tr>
      <w:tr>
        <w:tc>
          <w:tcPr>
            <w:tcW w:type="dxa" w:w="2948"/>
          </w:tcPr>
          <w:p>
            <w:r/>
            <w:r>
              <w:rPr>
                <w:b w:val="0"/>
                <w:sz w:val="19"/>
              </w:rPr>
              <w:t>Migrations à jouer en 1.4</w:t>
            </w:r>
          </w:p>
        </w:tc>
        <w:tc>
          <w:tcPr>
            <w:tcW w:type="dxa" w:w="6576"/>
          </w:tcPr>
          <w:p>
            <w:r/>
            <w:r>
              <w:rPr>
                <w:b w:val="0"/>
                <w:sz w:val="19"/>
              </w:rPr>
              <w:t>Une seule (fuseau horaire), application en maintenance</w:t>
            </w:r>
          </w:p>
        </w:tc>
      </w:tr>
    </w:tbl>
    <w:p/>
    <w:p>
      <w:pPr>
        <w:pStyle w:val="Heading2"/>
      </w:pPr>
      <w:r>
        <w:t>11.1 Reste à faire — exploitation (instance en ligne)</w:t>
      </w:r>
    </w:p>
    <w:p>
      <w:pPr>
        <w:pStyle w:val="ListBullet"/>
      </w:pPr>
      <w:r>
        <w:t>Mettre à jour l'instance vers la 1.4 avec docs/runbook-mise-a-jour-cron.md (maintenance, une migration, vendor/ inchangé, SPA à redéployer ; resources/lang/fr/validation.php part avec resources/).</w:t>
      </w:r>
    </w:p>
    <w:p>
      <w:pPr>
        <w:pStyle w:val="ListBullet"/>
      </w:pPr>
      <w:r>
        <w:t>Relire storage/app/settings.json avant d'envoyer le code : ses réglages (HTTPS forcé, maintenance, serveur SMTP…) s'appliquent dès lors.</w:t>
      </w:r>
    </w:p>
    <w:p>
      <w:pPr>
        <w:pStyle w:val="ListBullet"/>
      </w:pPr>
      <w:r>
        <w:t>Contrôler avec docs/checklist-post-deploiement.md §06 (lecture seule en production, création de données en recette).</w:t>
      </w:r>
    </w:p>
    <w:p>
      <w:pPr>
        <w:pStyle w:val="ListBullet"/>
      </w:pPr>
      <w:r>
        <w:t>Vider le cache des PDF d'OM (storage/app/private/ordres/) et envoyer un e-mail de test depuis Messagerie.</w:t>
      </w:r>
    </w:p>
    <w:p>
      <w:pPr>
        <w:pStyle w:val="ListBullet"/>
      </w:pPr>
      <w:r>
        <w:t>Éprouver une fois la restauration sur la base MySQL de l'hébergement (mécanisme vérifié en CI sur MySQL 8).</w:t>
      </w:r>
    </w:p>
    <w:p>
      <w:pPr>
        <w:pStyle w:val="ListBullet"/>
      </w:pPr>
      <w:r>
        <w:t>Sauvegarder storage/ avec la base (réglages, paraphes et fichiers produits ne sont pas dans le dump).</w:t>
      </w:r>
    </w:p>
    <w:p>
      <w:pPr>
        <w:pStyle w:val="ListBullet"/>
      </w:pPr>
      <w:r>
        <w:t>Si la file passe en QUEUE_CONNECTION=database : tâche Cron queue:work nommant les trois files.</w:t>
      </w:r>
    </w:p>
    <w:p>
      <w:pPr>
        <w:pStyle w:val="Heading2"/>
      </w:pPr>
      <w:r>
        <w:t>11.2 Dette technique : soldée le 29/10/2026</w:t>
      </w:r>
    </w:p>
    <w:tbl>
      <w:tblPr>
        <w:tblStyle w:val="TableGrid"/>
        <w:tblW w:type="auto" w:w="0"/>
        <w:jc w:val="center"/>
        <w:tblLayout w:type="fixed"/>
        <w:tblLook w:firstColumn="1" w:firstRow="1" w:lastColumn="0" w:lastRow="0" w:noHBand="0" w:noVBand="1" w:val="04A0"/>
      </w:tblPr>
      <w:tblGrid>
        <w:gridCol w:w="3628"/>
        <w:gridCol w:w="5896"/>
      </w:tblGrid>
      <w:tr>
        <w:tc>
          <w:tcPr>
            <w:tcW w:type="dxa" w:w="3628"/>
            <w:shd w:val="clear" w:fill="1D9E4F"/>
          </w:tcPr>
          <w:p>
            <w:r/>
            <w:r>
              <w:rPr>
                <w:b/>
                <w:color w:val="FFFFFF"/>
                <w:sz w:val="20"/>
              </w:rPr>
              <w:t>Point relevé</w:t>
            </w:r>
          </w:p>
        </w:tc>
        <w:tc>
          <w:tcPr>
            <w:tcW w:type="dxa" w:w="5896"/>
            <w:shd w:val="clear" w:fill="1D9E4F"/>
          </w:tcPr>
          <w:p>
            <w:r/>
            <w:r>
              <w:rPr>
                <w:b/>
                <w:color w:val="FFFFFF"/>
                <w:sz w:val="20"/>
              </w:rPr>
              <w:t>Résolution</w:t>
            </w:r>
          </w:p>
        </w:tc>
      </w:tr>
      <w:tr>
        <w:tc>
          <w:tcPr>
            <w:tcW w:type="dxa" w:w="3628"/>
          </w:tcPr>
          <w:p>
            <w:r/>
            <w:r>
              <w:rPr>
                <w:b w:val="0"/>
                <w:sz w:val="19"/>
              </w:rPr>
              <w:t>Correctifs sans test automatisé (minuteurs, maintenance, garde de route, design system)</w:t>
            </w:r>
          </w:p>
        </w:tc>
        <w:tc>
          <w:tcPr>
            <w:tcW w:type="dxa" w:w="5896"/>
          </w:tcPr>
          <w:p>
            <w:r/>
            <w:r>
              <w:rPr>
                <w:b w:val="0"/>
                <w:sz w:val="19"/>
              </w:rPr>
              <w:t>20 tests Vitest vus en échec sans leur correctif ; défaut n° 52 (crochets d'AppNavProgress) corrigé</w:t>
            </w:r>
          </w:p>
        </w:tc>
      </w:tr>
      <w:tr>
        <w:tc>
          <w:tcPr>
            <w:tcW w:type="dxa" w:w="3628"/>
          </w:tcPr>
          <w:p>
            <w:r/>
            <w:r>
              <w:rPr>
                <w:b w:val="0"/>
                <w:sz w:val="19"/>
              </w:rPr>
              <w:t>Restauration, tri et lockForUpdate testés seulement sous SQLite</w:t>
            </w:r>
          </w:p>
        </w:tc>
        <w:tc>
          <w:tcPr>
            <w:tcW w:type="dxa" w:w="5896"/>
          </w:tcPr>
          <w:p>
            <w:r/>
            <w:r>
              <w:rPr>
                <w:b w:val="0"/>
                <w:sz w:val="19"/>
              </w:rPr>
              <w:t>Groupe Pest mysql et job « Backend · Pest MySQL » (MySQL 8) ; défaut n° 53 (sauvegardes de la même seconde) corrigé</w:t>
            </w:r>
          </w:p>
        </w:tc>
      </w:tr>
      <w:tr>
        <w:tc>
          <w:tcPr>
            <w:tcW w:type="dxa" w:w="3628"/>
          </w:tcPr>
          <w:p>
            <w:r/>
            <w:r>
              <w:rPr>
                <w:b w:val="0"/>
                <w:sz w:val="19"/>
              </w:rPr>
              <w:t>Scripts de recette non versionnés</w:t>
            </w:r>
          </w:p>
        </w:tc>
        <w:tc>
          <w:tcPr>
            <w:tcW w:type="dxa" w:w="5896"/>
          </w:tcPr>
          <w:p>
            <w:r/>
            <w:r>
              <w:rPr>
                <w:b w:val="0"/>
                <w:sz w:val="19"/>
              </w:rPr>
              <w:t>scripts/recette/ et job « Recette · API réelle » ; défauts n° 54 et 55 corrigés</w:t>
            </w:r>
          </w:p>
        </w:tc>
      </w:tr>
      <w:tr>
        <w:tc>
          <w:tcPr>
            <w:tcW w:type="dxa" w:w="3628"/>
          </w:tcPr>
          <w:p>
            <w:r/>
            <w:r>
              <w:rPr>
                <w:b w:val="0"/>
                <w:sz w:val="19"/>
              </w:rPr>
              <w:t>Trois écrans au message d'échec générique</w:t>
            </w:r>
          </w:p>
        </w:tc>
        <w:tc>
          <w:tcPr>
            <w:tcW w:type="dxa" w:w="5896"/>
          </w:tcPr>
          <w:p>
            <w:r/>
            <w:r>
              <w:rPr>
                <w:b w:val="0"/>
                <w:sz w:val="19"/>
              </w:rPr>
              <w:t>Motif du serveur, message de l'écran en repli (n° 50)</w:t>
            </w:r>
          </w:p>
        </w:tc>
      </w:tr>
      <w:tr>
        <w:tc>
          <w:tcPr>
            <w:tcW w:type="dxa" w:w="3628"/>
          </w:tcPr>
          <w:p>
            <w:r/>
            <w:r>
              <w:rPr>
                <w:b w:val="0"/>
                <w:sz w:val="19"/>
              </w:rPr>
              <w:t>Vue 3.6.0-beta.9</w:t>
            </w:r>
          </w:p>
        </w:tc>
        <w:tc>
          <w:tcPr>
            <w:tcW w:type="dxa" w:w="5896"/>
          </w:tcPr>
          <w:p>
            <w:r/>
            <w:r>
              <w:rPr>
                <w:b w:val="0"/>
                <w:sz w:val="19"/>
              </w:rPr>
              <w:t>Vue 3.5.44 stable, épinglée (la 3.6 stable n'est pas parue)</w:t>
            </w:r>
          </w:p>
        </w:tc>
      </w:tr>
    </w:tbl>
    <w:p/>
    <w:p>
      <w:pPr>
        <w:pStyle w:val="ListBullet"/>
      </w:pPr>
      <w:r>
        <w:t>Reste au choix du client : archiver les deux documents historiques (docs/deploiement-circuit-validation.md, docs/plan-validation-daf-dg.md). Passer à Vue 3.6 stable à sa sortie relève d'une évolution ordinaire.</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