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Le serveur SMTP et l'expéditeur saisis à l'écran sont appliqués à l'envoi (sinon le .env du serveur) ; bouton « Envoyer un e-mail de test ». L'écran présente aussi les notifications réellement envoyées, avec leurs destinataires.</w:t>
            </w:r>
          </w:p>
        </w:tc>
        <w:tc>
          <w:tcPr>
            <w:tcW w:type="dxa" w:w="1247"/>
          </w:tcPr>
          <w:p>
            <w:r/>
            <w:r>
              <w:rPr>
                <w:b w:val="0"/>
                <w:sz w:val="20"/>
              </w:rPr>
              <w:t>13.2</w:t>
            </w:r>
          </w:p>
        </w:tc>
      </w:tr>
      <w:tr>
        <w:tc>
          <w:tcPr>
            <w:tcW w:type="dxa" w:w="2041"/>
          </w:tcPr>
          <w:p>
            <w:r/>
            <w:r>
              <w:rPr>
                <w:b w:val="0"/>
                <w:sz w:val="20"/>
              </w:rPr>
              <w:t>Réglages de Paramètres</w:t>
            </w:r>
          </w:p>
        </w:tc>
        <w:tc>
          <w:tcPr>
            <w:tcW w:type="dxa" w:w="6236"/>
          </w:tcPr>
          <w:p>
            <w:r/>
            <w:r>
              <w:rPr>
                <w:b w:val="0"/>
                <w:sz w:val="20"/>
              </w:rPr>
              <w:t>Tous appliqués : opérateurs MTN / Moov, notifications par type, durée de session, tentatives de connexion, HTTPS forcé, journal des connexions échouées, mode maintenance, nom de l'application.</w:t>
            </w:r>
          </w:p>
        </w:tc>
        <w:tc>
          <w:tcPr>
            <w:tcW w:type="dxa" w:w="1247"/>
          </w:tcPr>
          <w:p>
            <w:r/>
            <w:r>
              <w:rPr>
                <w:b w:val="0"/>
                <w:sz w:val="20"/>
              </w:rPr>
              <w:t>13.2</w:t>
            </w:r>
          </w:p>
        </w:tc>
      </w:tr>
      <w:tr>
        <w:tc>
          <w:tcPr>
            <w:tcW w:type="dxa" w:w="2041"/>
          </w:tcPr>
          <w:p>
            <w:r/>
            <w:r>
              <w:rPr>
                <w:b w:val="0"/>
                <w:sz w:val="20"/>
              </w:rPr>
              <w:t>Erreur passagère</w:t>
            </w:r>
          </w:p>
        </w:tc>
        <w:tc>
          <w:tcPr>
            <w:tcW w:type="dxa" w:w="6236"/>
          </w:tcPr>
          <w:p>
            <w:r/>
            <w:r>
              <w:rPr>
                <w:b w:val="0"/>
                <w:sz w:val="20"/>
              </w:rPr>
              <w:t>Un incident momentané du serveur (trop de requêtes, erreur, coupure réseau) au rechargement d'une page ne vous déconnecte plus : l'écran d'erreur s'affiche et « Réessayer » vous ramène à la page demandée, toujours connecté.</w:t>
            </w:r>
          </w:p>
        </w:tc>
        <w:tc>
          <w:tcPr>
            <w:tcW w:type="dxa" w:w="1247"/>
          </w:tcPr>
          <w:p>
            <w:r/>
            <w:r>
              <w:rPr>
                <w:b w:val="0"/>
                <w:sz w:val="20"/>
              </w:rPr>
              <w:t>3.4</w:t>
            </w:r>
          </w:p>
        </w:tc>
      </w:tr>
      <w:tr>
        <w:tc>
          <w:tcPr>
            <w:tcW w:type="dxa" w:w="2041"/>
          </w:tcPr>
          <w:p>
            <w:r/>
            <w:r>
              <w:rPr>
                <w:b w:val="0"/>
                <w:sz w:val="20"/>
              </w:rPr>
              <w:t>Refus expliqués</w:t>
            </w:r>
          </w:p>
        </w:tc>
        <w:tc>
          <w:tcPr>
            <w:tcW w:type="dxa" w:w="6236"/>
          </w:tcPr>
          <w:p>
            <w:r/>
            <w:r>
              <w:rPr>
                <w:b w:val="0"/>
                <w:sz w:val="20"/>
              </w:rPr>
              <w:t>Quand l'application refuse une action ou une saisie, elle dit pourquoi, en français et une seule fois, au lieu de « Données invalides » : signature refusée (« Vous avez contrôlé cet état… »), numéro d'état manquant ou déjà attribué, amendement impossible (« fichier en attente de dépôt »…), adresse e-mail déjà utilisée, part d'avance hors 0-100, port invalide…</w:t>
            </w:r>
          </w:p>
        </w:tc>
        <w:tc>
          <w:tcPr>
            <w:tcW w:type="dxa" w:w="1247"/>
          </w:tcPr>
          <w:p>
            <w:r/>
            <w:r>
              <w:rPr>
                <w:b w:val="0"/>
                <w:sz w:val="20"/>
              </w:rPr>
              <w:t>3.5, 6.3, 7.2, 13.2</w:t>
            </w:r>
          </w:p>
        </w:tc>
      </w:tr>
      <w:tr>
        <w:tc>
          <w:tcPr>
            <w:tcW w:type="dxa" w:w="2041"/>
          </w:tcPr>
          <w:p>
            <w:r/>
            <w:r>
              <w:rPr>
                <w:b w:val="0"/>
                <w:sz w:val="20"/>
              </w:rPr>
              <w:t>Refus expliqués (suite)</w:t>
            </w:r>
          </w:p>
        </w:tc>
        <w:tc>
          <w:tcPr>
            <w:tcW w:type="dxa" w:w="6236"/>
          </w:tcPr>
          <w:p>
            <w:r/>
            <w:r>
              <w:rPr>
                <w:b w:val="0"/>
                <w:sz w:val="20"/>
              </w:rPr>
              <w:t>Le barème et les exports de rapports donnent eux aussi la raison d'un échec (taux refusé, période invalide…), et non plus « Échec de l'enregistrement » / « Échec de l'export » ; un agent sans indice ni salaire brut est refusé avec « L'indice ou le salaire brut est requis pour déterminer la catégorie. » ; une date de retour antérieure au départ, avec « La date de retour doit être postérieure ou égale à la date de départ. ».</w:t>
            </w:r>
          </w:p>
        </w:tc>
        <w:tc>
          <w:tcPr>
            <w:tcW w:type="dxa" w:w="1247"/>
          </w:tcPr>
          <w:p>
            <w:r/>
            <w:r>
              <w:rPr>
                <w:b w:val="0"/>
                <w:sz w:val="20"/>
              </w:rPr>
              <w:t>3.5, 5.2, 10, 11</w:t>
            </w:r>
          </w:p>
        </w:tc>
      </w:tr>
      <w:tr>
        <w:tc>
          <w:tcPr>
            <w:tcW w:type="dxa" w:w="2041"/>
          </w:tcPr>
          <w:p>
            <w:r/>
            <w:r>
              <w:rPr>
                <w:b w:val="0"/>
                <w:sz w:val="20"/>
              </w:rPr>
              <w:t>Sauvegardes rapprochées</w:t>
            </w:r>
          </w:p>
        </w:tc>
        <w:tc>
          <w:tcPr>
            <w:tcW w:type="dxa" w:w="6236"/>
          </w:tcPr>
          <w:p>
            <w:r/>
            <w:r>
              <w:rPr>
                <w:b w:val="0"/>
                <w:sz w:val="20"/>
              </w:rPr>
              <w:t>Deux sauvegardes prises dans la même seconde (une sauvegarde manuelle puis une restauration aussitôt, par exemple) ne s'écrasent plus : la seconde porte un suffixe « -2 ». Restaurer une sauvegarde toute récente fonctionne donc toujours.</w:t>
            </w:r>
          </w:p>
        </w:tc>
        <w:tc>
          <w:tcPr>
            <w:tcW w:type="dxa" w:w="1247"/>
          </w:tcPr>
          <w:p>
            <w:r/>
            <w:r>
              <w:rPr>
                <w:b w:val="0"/>
                <w:sz w:val="20"/>
              </w:rPr>
              <w:t>13.3</w:t>
            </w:r>
          </w:p>
        </w:tc>
      </w:tr>
      <w:tr>
        <w:tc>
          <w:tcPr>
            <w:tcW w:type="dxa" w:w="2041"/>
          </w:tcPr>
          <w:p>
            <w:r/>
            <w:r>
              <w:rPr>
                <w:b w:val="0"/>
                <w:sz w:val="20"/>
              </w:rPr>
              <w:t>E-mail qui ne part pas</w:t>
            </w:r>
          </w:p>
        </w:tc>
        <w:tc>
          <w:tcPr>
            <w:tcW w:type="dxa" w:w="6236"/>
          </w:tcPr>
          <w:p>
            <w:r/>
            <w:r>
              <w:rPr>
                <w:b w:val="0"/>
                <w:sz w:val="20"/>
              </w:rPr>
              <w:t>Si le serveur de messagerie ne répond pas, valider, signer, rejeter ou amender n'affiche plus d'erreur : l'action est faite, la notification apparaît dans la cloche, seul l'e-mail manque (à vérifier avec « Envoyer un e-mail de test »).</w:t>
            </w:r>
          </w:p>
        </w:tc>
        <w:tc>
          <w:tcPr>
            <w:tcW w:type="dxa" w:w="1247"/>
          </w:tcPr>
          <w:p>
            <w:r/>
            <w:r>
              <w:rPr>
                <w:b w:val="0"/>
                <w:sz w:val="20"/>
              </w:rPr>
              <w:t>13.2</w:t>
            </w:r>
          </w:p>
        </w:tc>
      </w:tr>
      <w:tr>
        <w:tc>
          <w:tcPr>
            <w:tcW w:type="dxa" w:w="2041"/>
          </w:tcPr>
          <w:p>
            <w:r/>
            <w:r>
              <w:rPr>
                <w:b w:val="0"/>
                <w:sz w:val="20"/>
              </w:rPr>
              <w:t>Saisie d'une mission</w:t>
            </w:r>
          </w:p>
        </w:tc>
        <w:tc>
          <w:tcPr>
            <w:tcW w:type="dxa" w:w="6236"/>
          </w:tcPr>
          <w:p>
            <w:r/>
            <w:r>
              <w:rPr>
                <w:b w:val="0"/>
                <w:sz w:val="20"/>
              </w:rPr>
              <w:t>Un même agent ajouté deux fois est signalé dès la saisie (« Agent déjà présent dans cette mission »).</w:t>
            </w:r>
          </w:p>
        </w:tc>
        <w:tc>
          <w:tcPr>
            <w:tcW w:type="dxa" w:w="1247"/>
          </w:tcPr>
          <w:p>
            <w:r/>
            <w:r>
              <w:rPr>
                <w:b w:val="0"/>
                <w:sz w:val="20"/>
              </w:rPr>
              <w:t>6.1</w:t>
            </w:r>
          </w:p>
        </w:tc>
      </w:tr>
      <w:tr>
        <w:tc>
          <w:tcPr>
            <w:tcW w:type="dxa" w:w="2041"/>
          </w:tcPr>
          <w:p>
            <w:r/>
            <w:r>
              <w:rPr>
                <w:b w:val="0"/>
                <w:sz w:val="20"/>
              </w:rPr>
              <w:t>Part de l'avance d'une mission</w:t>
            </w:r>
          </w:p>
        </w:tc>
        <w:tc>
          <w:tcPr>
            <w:tcW w:type="dxa" w:w="6236"/>
          </w:tcPr>
          <w:p>
            <w:r/>
            <w:r>
              <w:rPr>
                <w:b w:val="0"/>
                <w:sz w:val="20"/>
              </w:rPr>
              <w:t>L'écran d'un état de paiement (« Avances (70 %) » / « Reliquats (30 %) ») et le choix de la tranche à la génération affichent la part avec laquelle les OM de la mission ont été retranscrits, et non le réglage du jour : changer la part dans « Paramètres » ne modifie ni les montants ni les pourcentages d'une mission déjà saisie.</w:t>
            </w:r>
          </w:p>
        </w:tc>
        <w:tc>
          <w:tcPr>
            <w:tcW w:type="dxa" w:w="1247"/>
          </w:tcPr>
          <w:p>
            <w:r/>
            <w:r>
              <w:rPr>
                <w:b w:val="0"/>
                <w:sz w:val="20"/>
              </w:rPr>
              <w:t>7.1, 8, 9.1</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 ; le message l'explique (« Vous avez contrôlé cet état : le visa DAF revient à une autre personne. »).</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2"/>
      </w:pPr>
      <w:r>
        <w:t>3.4 Erreur momentanée du serveur, maintenance</w:t>
      </w:r>
    </w:p>
    <w:p>
      <w:r>
        <w:rPr>
          <w:b w:val="0"/>
          <w:i w:val="0"/>
        </w:rPr>
        <w:t>Si le serveur ne répond pas correctement au moment où vous ouvrez ou rechargez une page (trop de requêtes en peu de temps, erreur passagère, coupure du réseau), l'application affiche l'écran « Erreur serveur » au lieu de la page demandée. Votre session est conservée : vous n'avez pas à vous reconnecter.</w:t>
      </w:r>
    </w:p>
    <w:p>
      <w:pPr>
        <w:pStyle w:val="ListNumber"/>
        <w:numPr>
          <w:ilvl w:val="0"/>
          <w:numId w:val="14"/>
        </w:numPr>
      </w:pPr>
      <w:r>
        <w:t>Patientez quelques instants (une minute au plus après « Trop de tentatives »).</w:t>
      </w:r>
    </w:p>
    <w:p>
      <w:pPr>
        <w:pStyle w:val="ListNumber"/>
        <w:numPr>
          <w:ilvl w:val="0"/>
          <w:numId w:val="14"/>
        </w:numPr>
      </w:pPr>
      <w:r>
        <w:t>Cliquez sur « Réessayer » : l'application vous ramène à la page que vous vouliez ouvrir.</w:t>
      </w:r>
    </w:p>
    <w:p>
      <w:r>
        <w:rPr>
          <w:b w:val="0"/>
          <w:i w:val="0"/>
        </w:rPr>
        <w:t>Pendant une mise à jour ou lorsque le super administrateur active le mode maintenance, l'écran « Maintenance en cours » s'affiche ; il revient de lui-même à votre page dès que le service reprend. Seule une session réellement expirée (durée de session dépassée, compte désactivé, mot de passe réinitialisé) vous renvoie à l'écran de connexion.</w:t>
      </w:r>
    </w:p>
    <w:p>
      <w:pPr>
        <w:pStyle w:val="Heading2"/>
      </w:pPr>
      <w:r>
        <w:t>3.5 Quand une action est refusée</w:t>
      </w:r>
    </w:p>
    <w:p>
      <w:r>
        <w:rPr>
          <w:b w:val="0"/>
          <w:i w:val="0"/>
        </w:rPr>
        <w:t>Lorsque l'application refuse une action ou une saisie, un message en haut à droite de l'écran en donne la raison, en français, et indique quoi faire. Rien n'est enregistré : corrigez, puis recommencez. Exemples :</w:t>
      </w:r>
    </w:p>
    <w:tbl>
      <w:tblPr>
        <w:tblStyle w:val="TableGrid"/>
        <w:tblW w:type="auto" w:w="0"/>
        <w:jc w:val="center"/>
        <w:tblLayout w:type="fixed"/>
        <w:tblLook w:firstColumn="1" w:firstRow="1" w:lastColumn="0" w:lastRow="0" w:noHBand="0" w:noVBand="1" w:val="04A0"/>
      </w:tblPr>
      <w:tblGrid>
        <w:gridCol w:w="3969"/>
        <w:gridCol w:w="5556"/>
      </w:tblGrid>
      <w:tr>
        <w:tc>
          <w:tcPr>
            <w:tcW w:type="dxa" w:w="3969"/>
            <w:shd w:val="clear" w:fill="1D9E4F"/>
          </w:tcPr>
          <w:p>
            <w:r/>
            <w:r>
              <w:rPr>
                <w:b/>
                <w:color w:val="FFFFFF"/>
                <w:sz w:val="20"/>
              </w:rPr>
              <w:t>Situation</w:t>
            </w:r>
          </w:p>
        </w:tc>
        <w:tc>
          <w:tcPr>
            <w:tcW w:type="dxa" w:w="5556"/>
            <w:shd w:val="clear" w:fill="1D9E4F"/>
          </w:tcPr>
          <w:p>
            <w:r/>
            <w:r>
              <w:rPr>
                <w:b/>
                <w:color w:val="FFFFFF"/>
                <w:sz w:val="20"/>
              </w:rPr>
              <w:t>Message affiché</w:t>
            </w:r>
          </w:p>
        </w:tc>
      </w:tr>
      <w:tr>
        <w:tc>
          <w:tcPr>
            <w:tcW w:type="dxa" w:w="3969"/>
          </w:tcPr>
          <w:p>
            <w:r/>
            <w:r>
              <w:rPr>
                <w:b w:val="0"/>
                <w:sz w:val="20"/>
              </w:rPr>
              <w:t>Le DAF tente de viser un état qu'il a lui-même contrôlé</w:t>
            </w:r>
          </w:p>
        </w:tc>
        <w:tc>
          <w:tcPr>
            <w:tcW w:type="dxa" w:w="5556"/>
          </w:tcPr>
          <w:p>
            <w:r/>
            <w:r>
              <w:rPr>
                <w:b w:val="0"/>
                <w:sz w:val="20"/>
              </w:rPr>
              <w:t>Vous avez contrôlé cet état : le visa DAF revient à une autre personne.</w:t>
            </w:r>
          </w:p>
        </w:tc>
      </w:tr>
      <w:tr>
        <w:tc>
          <w:tcPr>
            <w:tcW w:type="dxa" w:w="3969"/>
          </w:tcPr>
          <w:p>
            <w:r/>
            <w:r>
              <w:rPr>
                <w:b w:val="0"/>
                <w:sz w:val="20"/>
              </w:rPr>
              <w:t>Le DG valide un état sans numéro de registre</w:t>
            </w:r>
          </w:p>
        </w:tc>
        <w:tc>
          <w:tcPr>
            <w:tcW w:type="dxa" w:w="5556"/>
          </w:tcPr>
          <w:p>
            <w:r/>
            <w:r>
              <w:rPr>
                <w:b w:val="0"/>
                <w:sz w:val="20"/>
              </w:rPr>
              <w:t>Renseignez le numéro de l'état avant la validation finale.</w:t>
            </w:r>
          </w:p>
        </w:tc>
      </w:tr>
      <w:tr>
        <w:tc>
          <w:tcPr>
            <w:tcW w:type="dxa" w:w="3969"/>
          </w:tcPr>
          <w:p>
            <w:r/>
            <w:r>
              <w:rPr>
                <w:b w:val="0"/>
                <w:sz w:val="20"/>
              </w:rPr>
              <w:t>Numéro d'état déjà employé</w:t>
            </w:r>
          </w:p>
        </w:tc>
        <w:tc>
          <w:tcPr>
            <w:tcW w:type="dxa" w:w="5556"/>
          </w:tcPr>
          <w:p>
            <w:r/>
            <w:r>
              <w:rPr>
                <w:b w:val="0"/>
                <w:sz w:val="20"/>
              </w:rPr>
              <w:t>Le numéro « … » est déjà attribué à un autre état.</w:t>
            </w:r>
          </w:p>
        </w:tc>
      </w:tr>
      <w:tr>
        <w:tc>
          <w:tcPr>
            <w:tcW w:type="dxa" w:w="3969"/>
          </w:tcPr>
          <w:p>
            <w:r/>
            <w:r>
              <w:rPr>
                <w:b w:val="0"/>
                <w:sz w:val="20"/>
              </w:rPr>
              <w:t>Amendement d'un OM dont le fichier de paiement attend son dépôt</w:t>
            </w:r>
          </w:p>
        </w:tc>
        <w:tc>
          <w:tcPr>
            <w:tcW w:type="dxa" w:w="5556"/>
          </w:tcPr>
          <w:p>
            <w:r/>
            <w:r>
              <w:rPr>
                <w:b w:val="0"/>
                <w:sz w:val="20"/>
              </w:rPr>
              <w:t>Un fichier de paiement contenant cet ordre de mission est en attente de dépôt : confirmez le lot ou passez-le en erreur avant d'amender.</w:t>
            </w:r>
          </w:p>
        </w:tc>
      </w:tr>
      <w:tr>
        <w:tc>
          <w:tcPr>
            <w:tcW w:type="dxa" w:w="3969"/>
          </w:tcPr>
          <w:p>
            <w:r/>
            <w:r>
              <w:rPr>
                <w:b w:val="0"/>
                <w:sz w:val="20"/>
              </w:rPr>
              <w:t>Création d'un compte avec une adresse déjà enregistrée</w:t>
            </w:r>
          </w:p>
        </w:tc>
        <w:tc>
          <w:tcPr>
            <w:tcW w:type="dxa" w:w="5556"/>
          </w:tcPr>
          <w:p>
            <w:r/>
            <w:r>
              <w:rPr>
                <w:b w:val="0"/>
                <w:sz w:val="20"/>
              </w:rPr>
              <w:t>Cette adresse e-mail est déjà utilisée.</w:t>
            </w:r>
          </w:p>
        </w:tc>
      </w:tr>
      <w:tr>
        <w:tc>
          <w:tcPr>
            <w:tcW w:type="dxa" w:w="3969"/>
          </w:tcPr>
          <w:p>
            <w:r/>
            <w:r>
              <w:rPr>
                <w:b w:val="0"/>
                <w:sz w:val="20"/>
              </w:rPr>
              <w:t>Motif trop court</w:t>
            </w:r>
          </w:p>
        </w:tc>
        <w:tc>
          <w:tcPr>
            <w:tcW w:type="dxa" w:w="5556"/>
          </w:tcPr>
          <w:p>
            <w:r/>
            <w:r>
              <w:rPr>
                <w:b w:val="0"/>
                <w:sz w:val="20"/>
              </w:rPr>
              <w:t>Le champ motif doit contenir au moins 10 caractères.</w:t>
            </w:r>
          </w:p>
        </w:tc>
      </w:tr>
      <w:tr>
        <w:tc>
          <w:tcPr>
            <w:tcW w:type="dxa" w:w="3969"/>
          </w:tcPr>
          <w:p>
            <w:r/>
            <w:r>
              <w:rPr>
                <w:b w:val="0"/>
                <w:sz w:val="20"/>
              </w:rPr>
              <w:t>Part de l'avance hors limites (Paramètres)</w:t>
            </w:r>
          </w:p>
        </w:tc>
        <w:tc>
          <w:tcPr>
            <w:tcW w:type="dxa" w:w="5556"/>
          </w:tcPr>
          <w:p>
            <w:r/>
            <w:r>
              <w:rPr>
                <w:b w:val="0"/>
                <w:sz w:val="20"/>
              </w:rPr>
              <w:t>Le pourcentage d'avance doit être un entier entre 0 et 100.</w:t>
            </w:r>
          </w:p>
        </w:tc>
      </w:tr>
      <w:tr>
        <w:tc>
          <w:tcPr>
            <w:tcW w:type="dxa" w:w="3969"/>
          </w:tcPr>
          <w:p>
            <w:r/>
            <w:r>
              <w:rPr>
                <w:b w:val="0"/>
                <w:sz w:val="20"/>
              </w:rPr>
              <w:t>Agent créé sans indice ni salaire brut</w:t>
            </w:r>
          </w:p>
        </w:tc>
        <w:tc>
          <w:tcPr>
            <w:tcW w:type="dxa" w:w="5556"/>
          </w:tcPr>
          <w:p>
            <w:r/>
            <w:r>
              <w:rPr>
                <w:b w:val="0"/>
                <w:sz w:val="20"/>
              </w:rPr>
              <w:t>L'indice ou le salaire brut est requis pour déterminer la catégorie.</w:t>
            </w:r>
          </w:p>
        </w:tc>
      </w:tr>
      <w:tr>
        <w:tc>
          <w:tcPr>
            <w:tcW w:type="dxa" w:w="3969"/>
          </w:tcPr>
          <w:p>
            <w:r/>
            <w:r>
              <w:rPr>
                <w:b w:val="0"/>
                <w:sz w:val="20"/>
              </w:rPr>
              <w:t>Mission dont la date de retour précède le départ</w:t>
            </w:r>
          </w:p>
        </w:tc>
        <w:tc>
          <w:tcPr>
            <w:tcW w:type="dxa" w:w="5556"/>
          </w:tcPr>
          <w:p>
            <w:r/>
            <w:r>
              <w:rPr>
                <w:b w:val="0"/>
                <w:sz w:val="20"/>
              </w:rPr>
              <w:t>La date de retour doit être postérieure ou égale à la date de départ.</w:t>
            </w:r>
          </w:p>
        </w:tc>
      </w:tr>
      <w:tr>
        <w:tc>
          <w:tcPr>
            <w:tcW w:type="dxa" w:w="3969"/>
          </w:tcPr>
          <w:p>
            <w:r/>
            <w:r>
              <w:rPr>
                <w:b w:val="0"/>
                <w:sz w:val="20"/>
              </w:rPr>
              <w:t>Export de rapport sur une période à l'envers</w:t>
            </w:r>
          </w:p>
        </w:tc>
        <w:tc>
          <w:tcPr>
            <w:tcW w:type="dxa" w:w="5556"/>
          </w:tcPr>
          <w:p>
            <w:r/>
            <w:r>
              <w:rPr>
                <w:b w:val="0"/>
                <w:sz w:val="20"/>
              </w:rPr>
              <w:t>La date de fin doit être postérieure ou égale à la date de début.</w:t>
            </w:r>
          </w:p>
        </w:tc>
      </w:tr>
    </w:tbl>
    <w:p/>
    <w:p>
      <w:r>
        <w:rPr>
          <w:b w:val="0"/>
          <w:i w:val="0"/>
        </w:rPr>
        <w:t>Sur chaque écran, y compris le barème et les exports de rapports, c'est la raison donnée par le serveur qui s'affiche. Un message général (« Échec de l'enregistrement. », « Échec de l'export. ») n'apparaît que si le serveur n'a pas pu répondre (réseau coupé) : réessayez alors un peu plus tard.</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5"/>
        </w:numPr>
      </w:pPr>
      <w:r>
        <w:t>Cliquez sur « Nouvel agent » (ou « Modifier » depuis une fiche).</w:t>
      </w:r>
    </w:p>
    <w:p>
      <w:pPr>
        <w:pStyle w:val="ListNumber"/>
        <w:numPr>
          <w:ilvl w:val="0"/>
          <w:numId w:val="15"/>
        </w:numPr>
      </w:pPr>
      <w:r>
        <w:t>Renseignez l'identité, le matricule, l'indice ou le salaire brut (la catégorie en est déduite).</w:t>
      </w:r>
    </w:p>
    <w:p>
      <w:pPr>
        <w:pStyle w:val="ListNumber"/>
        <w:numPr>
          <w:ilvl w:val="0"/>
          <w:numId w:val="15"/>
        </w:numPr>
      </w:pPr>
      <w:r>
        <w:t>Saisissez le téléphone (10 chiffres, commençant par 01) et l'opérateur cohérent avec le numéro.</w:t>
      </w:r>
    </w:p>
    <w:p>
      <w:pPr>
        <w:pStyle w:val="ListNumber"/>
        <w:numPr>
          <w:ilvl w:val="0"/>
          <w:numId w:val="15"/>
        </w:numPr>
      </w:pPr>
      <w:r>
        <w:t>Enregistrez. La catégorie d'indice (≥ 800 / 400-799 / &lt; 400) est calculée automatiquement.</w:t>
      </w:r>
    </w:p>
    <w:p>
      <w:pPr>
        <w:pStyle w:val="ListBullet"/>
      </w:pPr>
      <w:r>
        <w:t>Sans indice ni salaire brut, l'agent n'est pas créé : « L'indice ou le salaire brut est requis pour déterminer la catégorie. ». Un numéro qui ne correspond pas à l'opérateur choisi est refusé de même (« Le numéro correspond à l'opérateur MTN, pas à MOOV. »).</w:t>
      </w:r>
    </w:p>
    <w:p>
      <w:pPr>
        <w:pStyle w:val="Heading2"/>
      </w:pPr>
      <w:r>
        <w:t>5.3 Importer des agents (Excel / CSV)</w:t>
      </w:r>
    </w:p>
    <w:p>
      <w:pPr>
        <w:pStyle w:val="ListNumber"/>
        <w:numPr>
          <w:ilvl w:val="0"/>
          <w:numId w:val="16"/>
        </w:numPr>
      </w:pPr>
      <w:r>
        <w:t>Ouvrez « Import » dans le module Personnel.</w:t>
      </w:r>
    </w:p>
    <w:p>
      <w:pPr>
        <w:pStyle w:val="ListNumber"/>
        <w:numPr>
          <w:ilvl w:val="0"/>
          <w:numId w:val="16"/>
        </w:numPr>
      </w:pPr>
      <w:r>
        <w:t>Déposez votre fichier Excel/CSV et lancez la prévisualisation.</w:t>
      </w:r>
    </w:p>
    <w:p>
      <w:pPr>
        <w:pStyle w:val="ListNumber"/>
        <w:numPr>
          <w:ilvl w:val="0"/>
          <w:numId w:val="16"/>
        </w:numPr>
      </w:pPr>
      <w:r>
        <w:t>Consultez le rapport de contrôle : chaque ligne est vérifiée (unicité du matricule et du téléphone, cohérence numéro/opérateur).</w:t>
      </w:r>
    </w:p>
    <w:p>
      <w:pPr>
        <w:pStyle w:val="ListNumber"/>
        <w:numPr>
          <w:ilvl w:val="0"/>
          <w:numId w:val="16"/>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 Un agent ajouté deux fois est signalé sur sa fiche (« Agent déjà présent dans cette mission ») et bloque le passage au récapitulatif.</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7"/>
        </w:numPr>
      </w:pPr>
      <w:r>
        <w:t>Depuis la fiche de l'OM, cliquez sur « Amender ».</w:t>
      </w:r>
    </w:p>
    <w:p>
      <w:pPr>
        <w:pStyle w:val="ListNumber"/>
        <w:numPr>
          <w:ilvl w:val="0"/>
          <w:numId w:val="17"/>
        </w:numPr>
      </w:pPr>
      <w:r>
        <w:t>Saisissez le nouveau nombre de jours (ou la nouvelle répartition) et un motif obligatoire (≥ 10 caractères).</w:t>
      </w:r>
    </w:p>
    <w:p>
      <w:pPr>
        <w:pStyle w:val="ListNumber"/>
        <w:numPr>
          <w:ilvl w:val="0"/>
          <w:numId w:val="17"/>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Quand un amendement est refusé, le message indique lequel de ces cas s'applique et quoi faire (par exemple « rejetez-le avant d'amender » pour un état en cours de signature) ; rien n'est modifié.</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ListBullet"/>
      </w:pPr>
      <w:r>
        <w:t>Les onglets « Avances (… %) » et « Reliquats (… %) » indiquent la part de l'avance de la mission, celle avec laquelle ses OM ont été retranscrits : elle ne change pas si la part est modifiée ensuite dans « Paramètres ».</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 Sans numéro, ou avec un numéro déjà attribué à un autre état, la validation est refusée avec un message qui le dit.</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 Si le serveur de messagerie ne répond pas, la signature est tout de même enregistrée et la cloche prévient le suivant : seul l'e-mail manque. Un type de notification coupé dans « Paramètres » n'est plus émis ; la file de travail des états montre toujours ce qui attend chacun.</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 Une mission déjà saisie garde ses montants, et ses écrans (fiche et PDF de l'OM, état de paiement, génération des fichiers) affichent la part avec laquelle elle a été retranscrite.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8"/>
        </w:numPr>
      </w:pPr>
      <w:r>
        <w:t>Dans le menu Paiements, ouvrez « Générer MTN » ou « Générer Moov ».</w:t>
      </w:r>
    </w:p>
    <w:p>
      <w:pPr>
        <w:pStyle w:val="ListNumber"/>
        <w:numPr>
          <w:ilvl w:val="0"/>
          <w:numId w:val="18"/>
        </w:numPr>
      </w:pPr>
      <w:r>
        <w:t>Sélectionnez la mission et la tranche (AVANCE ou RELIQUAT) : l'« Aperçu des bénéficiaires » éligibles s'affiche aussitôt. Une fois la mission choisie, la tranche est libellée avec la part de cette mission (par exemple « Avance (60 %) » pour une mission retranscrite à 60 %).</w:t>
      </w:r>
    </w:p>
    <w:p>
      <w:pPr>
        <w:pStyle w:val="ListNumber"/>
        <w:numPr>
          <w:ilvl w:val="0"/>
          <w:numId w:val="18"/>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9"/>
        </w:numPr>
      </w:pPr>
      <w:r>
        <w:t>Déposez le fichier généré sur la plateforme de l'opérateur (hors application).</w:t>
      </w:r>
    </w:p>
    <w:p>
      <w:pPr>
        <w:pStyle w:val="ListNumber"/>
        <w:numPr>
          <w:ilvl w:val="0"/>
          <w:numId w:val="19"/>
        </w:numPr>
      </w:pPr>
      <w:r>
        <w:t>Une fois le dépôt réussi, revenez sur l'écran de génération et cliquez sur « Confirmer le paiement ».</w:t>
      </w:r>
    </w:p>
    <w:p>
      <w:pPr>
        <w:pStyle w:val="ListNumber"/>
        <w:numPr>
          <w:ilvl w:val="0"/>
          <w:numId w:val="19"/>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Bullet"/>
      </w:pPr>
      <w:r>
        <w:t>Les comptes qui constatent les recouvrements (« Paiements — confirmer », l'agent financier par défaut) en sont prévenus dans la cloche et par e-mail, sauf si cette notification est coupée dans « Paramètres » : l'écran « Régularisations » reste alors la seule alerte.</w:t>
      </w:r>
    </w:p>
    <w:p>
      <w:pPr>
        <w:pStyle w:val="ListNumber"/>
        <w:numPr>
          <w:ilvl w:val="0"/>
          <w:numId w:val="20"/>
        </w:numPr>
      </w:pPr>
      <w:r>
        <w:t>Ouvrez « Régularisations » : la liste des trop-perçus (à recouvrer / recouvrés) s'affiche, filtrable et paginée.</w:t>
      </w:r>
    </w:p>
    <w:p>
      <w:pPr>
        <w:pStyle w:val="ListNumber"/>
        <w:numPr>
          <w:ilvl w:val="0"/>
          <w:numId w:val="20"/>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20"/>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 Un taux refusé (valeur négative, par exemple) est signalé avec sa raison ; rien n'est enregistré.</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 Une période invalide (date de fin avant la date de début) est refusée avec sa raison.</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(onglet Général) : nom de l'application (titre de l'onglet du navigateur, et préfixe de l'objet des e-mails) et part de l'avance (%) appliquée à la répartition avance / reliquat (70 % par défaut). La part ne vaut que pour les OM retranscrits après la modification : les missions déjà saisies gardent leurs montants et leur part. Le fuseau horaire (heure du Bénin) y est affiché pour information : il est réglé sur le serveur.</w:t>
      </w:r>
    </w:p>
    <w:p>
      <w:r>
        <w:rPr>
          <w:b w:val="0"/>
          <w:i w:val="0"/>
        </w:rPr>
        <w:t>Tous les réglages de l'écran Paramètres sont appliqués par le serveur dès l'enregistrement (au plus tard une minute après). Un réglage jamais enregistré garde le comportement par défaut ; une valeur hors limites est refusée : l'écran indique laquelle et pourquoi (par exemple « Le pourcentage d'avance doit être un entier entre 0 et 100. ») et n'enregistre rien.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 Enregistrer tout » : </w:t>
            </w:r>
            <w:r>
              <w:rPr>
                <w:sz w:val="20"/>
              </w:rPr>
              <w:t>Le bouton enregistre tous les onglets en une fois, et chacun s'applique aussitôt. Avant de changer un seul réglage (la part de l'avance, par exemple), relisez les autres onglets : n'activez « Forcer HTTPS » que si l'adresse de l'application commence déjà par https://, et vérifiez que le mode maintenance est bien désactivé.</w:t>
            </w:r>
          </w:p>
        </w:tc>
      </w:tr>
    </w:tbl>
    <w:p/>
    <w:tbl>
      <w:tblPr>
        <w:tblStyle w:val="TableGrid"/>
        <w:tblW w:type="auto" w:w="0"/>
        <w:jc w:val="center"/>
        <w:tblLayout w:type="fixed"/>
        <w:tblLook w:firstColumn="1" w:firstRow="1" w:lastColumn="0" w:lastRow="0" w:noHBand="0" w:noVBand="1" w:val="04A0"/>
      </w:tblPr>
      <w:tblGrid>
        <w:gridCol w:w="1474"/>
        <w:gridCol w:w="2608"/>
        <w:gridCol w:w="5443"/>
      </w:tblGrid>
      <w:tr>
        <w:tc>
          <w:tcPr>
            <w:tcW w:type="dxa" w:w="1474"/>
            <w:shd w:val="clear" w:fill="1D9E4F"/>
          </w:tcPr>
          <w:p>
            <w:r/>
            <w:r>
              <w:rPr>
                <w:b/>
                <w:color w:val="FFFFFF"/>
                <w:sz w:val="20"/>
              </w:rPr>
              <w:t>Onglet</w:t>
            </w:r>
          </w:p>
        </w:tc>
        <w:tc>
          <w:tcPr>
            <w:tcW w:type="dxa" w:w="2608"/>
            <w:shd w:val="clear" w:fill="1D9E4F"/>
          </w:tcPr>
          <w:p>
            <w:r/>
            <w:r>
              <w:rPr>
                <w:b/>
                <w:color w:val="FFFFFF"/>
                <w:sz w:val="20"/>
              </w:rPr>
              <w:t>Réglage</w:t>
            </w:r>
          </w:p>
        </w:tc>
        <w:tc>
          <w:tcPr>
            <w:tcW w:type="dxa" w:w="5443"/>
            <w:shd w:val="clear" w:fill="1D9E4F"/>
          </w:tcPr>
          <w:p>
            <w:r/>
            <w:r>
              <w:rPr>
                <w:b/>
                <w:color w:val="FFFFFF"/>
                <w:sz w:val="20"/>
              </w:rPr>
              <w:t>Effet</w:t>
            </w:r>
          </w:p>
        </w:tc>
      </w:tr>
      <w:tr>
        <w:tc>
          <w:tcPr>
            <w:tcW w:type="dxa" w:w="1474"/>
          </w:tcPr>
          <w:p>
            <w:r/>
            <w:r>
              <w:rPr>
                <w:b w:val="0"/>
                <w:sz w:val="20"/>
              </w:rPr>
              <w:t>Paiements</w:t>
            </w:r>
          </w:p>
        </w:tc>
        <w:tc>
          <w:tcPr>
            <w:tcW w:type="dxa" w:w="2608"/>
          </w:tcPr>
          <w:p>
            <w:r/>
            <w:r>
              <w:rPr>
                <w:b w:val="0"/>
                <w:sz w:val="20"/>
              </w:rPr>
              <w:t>MTN / Moov activé</w:t>
            </w:r>
          </w:p>
        </w:tc>
        <w:tc>
          <w:tcPr>
            <w:tcW w:type="dxa" w:w="5443"/>
          </w:tcPr>
          <w:p>
            <w:r/>
            <w:r>
              <w:rPr>
                <w:b w:val="0"/>
                <w:sz w:val="20"/>
              </w:rPr>
              <w:t>Un opérateur désactivé n'est plus ouvert à la génération de fichiers : l'écran de génération l'indique et grise le bouton. L'aperçu reste consultable et les lots déjà générés restent confirmables.</w:t>
            </w:r>
          </w:p>
        </w:tc>
      </w:tr>
      <w:tr>
        <w:tc>
          <w:tcPr>
            <w:tcW w:type="dxa" w:w="1474"/>
          </w:tcPr>
          <w:p>
            <w:r/>
            <w:r>
              <w:rPr>
                <w:b w:val="0"/>
                <w:sz w:val="20"/>
              </w:rPr>
              <w:t>Notifications</w:t>
            </w:r>
          </w:p>
        </w:tc>
        <w:tc>
          <w:tcPr>
            <w:tcW w:type="dxa" w:w="2608"/>
          </w:tcPr>
          <w:p>
            <w:r/>
            <w:r>
              <w:rPr>
                <w:b w:val="0"/>
                <w:sz w:val="20"/>
              </w:rPr>
              <w:t>Une bascule par notification</w:t>
            </w:r>
          </w:p>
        </w:tc>
        <w:tc>
          <w:tcPr>
            <w:tcW w:type="dxa" w:w="5443"/>
          </w:tcPr>
          <w:p>
            <w:r/>
            <w:r>
              <w:rPr>
                <w:b w:val="0"/>
                <w:sz w:val="20"/>
              </w:rPr>
              <w:t>Une notification désactivée n'est plus émise du tout, ni dans la cloche ni par e-mail.</w:t>
            </w:r>
          </w:p>
        </w:tc>
      </w:tr>
      <w:tr>
        <w:tc>
          <w:tcPr>
            <w:tcW w:type="dxa" w:w="1474"/>
          </w:tcPr>
          <w:p>
            <w:r/>
            <w:r>
              <w:rPr>
                <w:b w:val="0"/>
                <w:sz w:val="20"/>
              </w:rPr>
              <w:t>Sécurité</w:t>
            </w:r>
          </w:p>
        </w:tc>
        <w:tc>
          <w:tcPr>
            <w:tcW w:type="dxa" w:w="2608"/>
          </w:tcPr>
          <w:p>
            <w:r/>
            <w:r>
              <w:rPr>
                <w:b w:val="0"/>
                <w:sz w:val="20"/>
              </w:rPr>
              <w:t>Durée de session (5 à 1440 min)</w:t>
            </w:r>
          </w:p>
        </w:tc>
        <w:tc>
          <w:tcPr>
            <w:tcW w:type="dxa" w:w="5443"/>
          </w:tcPr>
          <w:p>
            <w:r/>
            <w:r>
              <w:rPr>
                <w:b w:val="0"/>
                <w:sz w:val="20"/>
              </w:rPr>
              <w:t>Durée de validité d'une connexion ; au-delà, l'utilisateur doit se reconnecter (480 min par défaut).</w:t>
            </w:r>
          </w:p>
        </w:tc>
      </w:tr>
      <w:tr>
        <w:tc>
          <w:tcPr>
            <w:tcW w:type="dxa" w:w="1474"/>
          </w:tcPr>
          <w:p>
            <w:r/>
            <w:r>
              <w:rPr>
                <w:b w:val="0"/>
                <w:sz w:val="20"/>
              </w:rPr>
              <w:t>Sécurité</w:t>
            </w:r>
          </w:p>
        </w:tc>
        <w:tc>
          <w:tcPr>
            <w:tcW w:type="dxa" w:w="2608"/>
          </w:tcPr>
          <w:p>
            <w:r/>
            <w:r>
              <w:rPr>
                <w:b w:val="0"/>
                <w:sz w:val="20"/>
              </w:rPr>
              <w:t>Tentatives de connexion (3 à 20 par minute)</w:t>
            </w:r>
          </w:p>
        </w:tc>
        <w:tc>
          <w:tcPr>
            <w:tcW w:type="dxa" w:w="5443"/>
          </w:tcPr>
          <w:p>
            <w:r/>
            <w:r>
              <w:rPr>
                <w:b w:val="0"/>
                <w:sz w:val="20"/>
              </w:rPr>
              <w:t>Au-delà, la connexion est momentanément refusée : « Trop de tentatives en peu de temps » (5 par défaut).</w:t>
            </w:r>
          </w:p>
        </w:tc>
      </w:tr>
      <w:tr>
        <w:tc>
          <w:tcPr>
            <w:tcW w:type="dxa" w:w="1474"/>
          </w:tcPr>
          <w:p>
            <w:r/>
            <w:r>
              <w:rPr>
                <w:b w:val="0"/>
                <w:sz w:val="20"/>
              </w:rPr>
              <w:t>Sécurité</w:t>
            </w:r>
          </w:p>
        </w:tc>
        <w:tc>
          <w:tcPr>
            <w:tcW w:type="dxa" w:w="2608"/>
          </w:tcPr>
          <w:p>
            <w:r/>
            <w:r>
              <w:rPr>
                <w:b w:val="0"/>
                <w:sz w:val="20"/>
              </w:rPr>
              <w:t>Forcer HTTPS</w:t>
            </w:r>
          </w:p>
        </w:tc>
        <w:tc>
          <w:tcPr>
            <w:tcW w:type="dxa" w:w="5443"/>
          </w:tcPr>
          <w:p>
            <w:r/>
            <w:r>
              <w:rPr>
                <w:b w:val="0"/>
                <w:sz w:val="20"/>
              </w:rPr>
              <w:t>L'application refuse toute requête non chiffrée. À n'activer que si l'adresse de l'application commence déjà par https://.</w:t>
            </w:r>
          </w:p>
        </w:tc>
      </w:tr>
      <w:tr>
        <w:tc>
          <w:tcPr>
            <w:tcW w:type="dxa" w:w="1474"/>
          </w:tcPr>
          <w:p>
            <w:r/>
            <w:r>
              <w:rPr>
                <w:b w:val="0"/>
                <w:sz w:val="20"/>
              </w:rPr>
              <w:t>Sécurité</w:t>
            </w:r>
          </w:p>
        </w:tc>
        <w:tc>
          <w:tcPr>
            <w:tcW w:type="dxa" w:w="2608"/>
          </w:tcPr>
          <w:p>
            <w:r/>
            <w:r>
              <w:rPr>
                <w:b w:val="0"/>
                <w:sz w:val="20"/>
              </w:rPr>
              <w:t>Journaliser les connexions</w:t>
            </w:r>
          </w:p>
        </w:tc>
        <w:tc>
          <w:tcPr>
            <w:tcW w:type="dxa" w:w="5443"/>
          </w:tcPr>
          <w:p>
            <w:r/>
            <w:r>
              <w:rPr>
                <w:b w:val="0"/>
                <w:sz w:val="20"/>
              </w:rPr>
              <w:t>Les connexions échouées sont aussi tracées au journal d'audit (e-mail saisi, motif) ; les connexions réussies le sont toujours.</w:t>
            </w:r>
          </w:p>
        </w:tc>
      </w:tr>
      <w:tr>
        <w:tc>
          <w:tcPr>
            <w:tcW w:type="dxa" w:w="1474"/>
          </w:tcPr>
          <w:p>
            <w:r/>
            <w:r>
              <w:rPr>
                <w:b w:val="0"/>
                <w:sz w:val="20"/>
              </w:rPr>
              <w:t>Maintenance</w:t>
            </w:r>
          </w:p>
        </w:tc>
        <w:tc>
          <w:tcPr>
            <w:tcW w:type="dxa" w:w="2608"/>
          </w:tcPr>
          <w:p>
            <w:r/>
            <w:r>
              <w:rPr>
                <w:b w:val="0"/>
                <w:sz w:val="20"/>
              </w:rPr>
              <w:t>Mode maintenance</w:t>
            </w:r>
          </w:p>
        </w:tc>
        <w:tc>
          <w:tcPr>
            <w:tcW w:type="dxa" w:w="5443"/>
          </w:tcPr>
          <w:p>
            <w:r/>
            <w:r>
              <w:rPr>
                <w:b w:val="0"/>
                <w:sz w:val="20"/>
              </w:rPr>
              <w:t>Tous les utilisateurs voient l'écran « Maintenance en cours », sauf le super administrateur, qui peut continuer à travailler puis lever le mode.</w:t>
            </w:r>
          </w:p>
        </w:tc>
      </w:tr>
    </w:tbl>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un serveur renseigné remplace, dès l'e-mail suivant, celui du fichier .env du serveur (laissé vide, c'est le .env qui s'applique) ; l'adresse et le nom d'expéditeur aussi. Le bouton « Envoyer un e-mail de test » enregistre puis écrit à votre adresse : un échec affiche le message du serveur de messagerie. Le mot de passe est stocké chiffré et n'est jamais réaffiché en clair. L'écran liste les sept notifications envoyées (état à signer, état validé ou rejeté, OM validé ou rejeté, lot confirmé, trop-perçu créé) avec la permission de leurs destinataires.</w:t>
      </w:r>
    </w:p>
    <w:p>
      <w:pPr>
        <w:jc w:val="center"/>
      </w:pPr>
      <w:r>
        <w:drawing>
          <wp:inline xmlns:a="http://schemas.openxmlformats.org/drawingml/2006/main" xmlns:pic="http://schemas.openxmlformats.org/drawingml/2006/picture">
            <wp:extent cx="5760000" cy="5512000"/>
            <wp:docPr id="14" name="Picture 14"/>
            <wp:cNvGraphicFramePr>
              <a:graphicFrameLocks noChangeAspect="1"/>
            </wp:cNvGraphicFramePr>
            <a:graphic>
              <a:graphicData uri="http://schemas.openxmlformats.org/drawingml/2006/picture">
                <pic:pic>
                  <pic:nvPicPr>
                    <pic:cNvPr id="0" name="51_config_email.jpg"/>
                    <pic:cNvPicPr/>
                  </pic:nvPicPr>
                  <pic:blipFill>
                    <a:blip r:embed="rId22"/>
                    <a:stretch>
                      <a:fillRect/>
                    </a:stretch>
                  </pic:blipFill>
                  <pic:spPr>
                    <a:xfrm>
                      <a:off x="0" y="0"/>
                      <a:ext cx="5760000" cy="5512000"/>
                    </a:xfrm>
                    <a:prstGeom prst="rect"/>
                  </pic:spPr>
                </pic:pic>
              </a:graphicData>
            </a:graphic>
          </wp:inline>
        </w:drawing>
      </w:r>
    </w:p>
    <w:p>
      <w:pPr>
        <w:jc w:val="center"/>
      </w:pPr>
      <w:r>
        <w:rPr>
          <w:i/>
          <w:color w:val="4B5563"/>
          <w:sz w:val="18"/>
        </w:rPr>
        <w:t>Figure — configuration e-mail : serveur SMTP, expéditeur et e-mail de test</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 Deux sauvegardes prises dans la même seconde portent des noms distincts (suffixe « -2 », « -3 »…) : aucune n'en écrase une autre.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1"/>
        </w:numPr>
      </w:pPr>
      <w:r>
        <w:t>Survolez la sauvegarde voulue et cliquez sur l'icône « Restaurer ».</w:t>
      </w:r>
    </w:p>
    <w:p>
      <w:pPr>
        <w:pStyle w:val="ListNumber"/>
        <w:numPr>
          <w:ilvl w:val="0"/>
          <w:numId w:val="21"/>
        </w:numPr>
      </w:pPr>
      <w:r>
        <w:t>Lisez l'avertissement : la base actuelle sera entièrement remplacée.</w:t>
      </w:r>
    </w:p>
    <w:p>
      <w:pPr>
        <w:pStyle w:val="ListNumber"/>
        <w:numPr>
          <w:ilvl w:val="0"/>
          <w:numId w:val="21"/>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