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Le PDF de l'OM (lien « PDF de l'OM » en haut de la fiche) est régénéré après l'amendement. Il n'affiche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Ouvrez « Paiements MTN » ou « Paiements Moov ».</w:t>
      </w:r>
    </w:p>
    <w:p>
      <w:pPr>
        <w:pStyle w:val="ListNumber"/>
        <w:numPr>
          <w:ilvl w:val="0"/>
          <w:numId w:val="17"/>
        </w:numPr>
      </w:pPr>
      <w:r>
        <w:t>Sélectionnez la mission, la tranche (AVANCE ou RELIQUAT) et l'opérateur.</w:t>
      </w:r>
    </w:p>
    <w:p>
      <w:pPr>
        <w:pStyle w:val="ListNumber"/>
        <w:numPr>
          <w:ilvl w:val="0"/>
          <w:numId w:val="17"/>
        </w:numPr>
      </w:pPr>
      <w:r>
        <w:t>Cliquez sur « Prévisualiser » : la liste des bénéficiaires éligibles s'affiche.</w:t>
      </w:r>
    </w:p>
    <w:p>
      <w:pPr>
        <w:pStyle w:val="ListNumber"/>
        <w:numPr>
          <w:ilvl w:val="0"/>
          <w:numId w:val="17"/>
        </w:numPr>
      </w:pPr>
      <w:r>
        <w:t>Cliquez sur « Générer » : le fichier (.txt pour MTN, .xlsx pour Moov) est téléchargé. Le lot passe au statut GÉNÉRÉ.</w:t>
      </w:r>
    </w:p>
    <w:p>
      <w:r>
        <w:rPr>
          <w:b w:val="0"/>
          <w:i w:val="0"/>
        </w:rPr>
        <w:t>Pour un volume important (plus de 50 bénéficiaires), la génération se fait en arrière-plan : une barre de progression s'affiche et le fichier se télécharge automatiquement dès qu'il est prêt. Restez sur l'écran pendant le traitement ; le lot reste ensuite re-téléchargeable depuis la liste des lots.</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dans l'application et cliquez sur « Confirmer » pour le lot.</w:t>
      </w:r>
    </w:p>
    <w:p>
      <w:pPr>
        <w:pStyle w:val="ListNumber"/>
        <w:numPr>
          <w:ilvl w:val="0"/>
          <w:numId w:val="18"/>
        </w:numPr>
      </w:pPr>
      <w:r>
        <w:t>Le lot et ses versements passent au statut CONFIRMÉ et sont horodatés. L'OM dont tous les versements sont confirmés passe au statut SOLDÉ.</w:t>
      </w:r>
    </w:p>
    <w:p>
      <w:pPr>
        <w:pStyle w:val="Heading2"/>
      </w:pPr>
      <w:r>
        <w:t>9.3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19"/>
        </w:numPr>
      </w:pPr>
      <w:r>
        <w:t>Une fois la retenue appliquée par la RH, cliquez sur « Marquer recouvré » : le versement passe au statut RECOUVRÉ.</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Étapes intermédiaires du circuit par OM (validation directe, activée en option).</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Tous les versements de l'OM ont été confirmés, ou le trop-perçu recouvré (ou OM exonéré).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