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1.4.0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1.4 (26-27 octobre 2026)</w:t>
      </w:r>
    </w:p>
    <w:p>
      <w:r>
        <w:rPr>
          <w:b w:val="0"/>
          <w:i w:val="0"/>
        </w:rPr>
        <w:t>Cette version applique les quatre décisions du §7.1 de la revue (docs/revue-projet-2026-10.md), corrige trois défauts d'interface et remplace les maquettes d'août 2026 par les écrans réels.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Notifications (D1)</w:t>
            </w:r>
          </w:p>
        </w:tc>
        <w:tc>
          <w:tcPr>
            <w:tcW w:type="dxa" w:w="6009"/>
          </w:tcPr>
          <w:p>
            <w:r/>
            <w:r>
              <w:rPr>
                <w:b w:val="0"/>
                <w:sz w:val="19"/>
              </w:rPr>
              <w:t>NotificationService::notifier vise les comptes actifs dont les permissions EFFECTIVES portent la clé de l'étape (om.valider / om.viser / om.approuver, paiements.generer, paiements.confirmer, om.retranscrire, utilisateurs.gerer) : rôles personnalisés et droits individuels compris, retraits respectés, SUPER_ADMIN exclu, une notification par compte.</w:t>
            </w:r>
          </w:p>
        </w:tc>
        <w:tc>
          <w:tcPr>
            <w:tcW w:type="dxa" w:w="1474"/>
          </w:tcPr>
          <w:p>
            <w:r/>
            <w:r>
              <w:rPr>
                <w:b w:val="0"/>
                <w:sz w:val="19"/>
              </w:rPr>
              <w:t>§4.2, §6.3</w:t>
            </w:r>
          </w:p>
        </w:tc>
      </w:tr>
      <w:tr>
        <w:tc>
          <w:tcPr>
            <w:tcW w:type="dxa" w:w="2041"/>
          </w:tcPr>
          <w:p>
            <w:r/>
            <w:r>
              <w:rPr>
                <w:b w:val="0"/>
                <w:sz w:val="19"/>
              </w:rPr>
              <w:t>Fuseau horaire (D2)</w:t>
            </w:r>
          </w:p>
        </w:tc>
        <w:tc>
          <w:tcPr>
            <w:tcW w:type="dxa" w:w="6009"/>
          </w:tcPr>
          <w:p>
            <w:r/>
            <w:r>
              <w:rPr>
                <w:b w:val="0"/>
                <w:sz w:val="19"/>
              </w:rPr>
              <w:t>config/app.php : APP_TIMEZONE, défaut Africa/Porto-Novo (UTC+1). Migration 2026_10_26_090000_passer_horodatages_au_fuseau_applicatif : +1 h sur toutes les colonnes DATETIME / TIMESTAMP (même instant, scellés inchangés), down() −1 h. L'API sérialise toujours en UTC.</w:t>
            </w:r>
          </w:p>
        </w:tc>
        <w:tc>
          <w:tcPr>
            <w:tcW w:type="dxa" w:w="1474"/>
          </w:tcPr>
          <w:p>
            <w:r/>
            <w:r>
              <w:rPr>
                <w:b w:val="0"/>
                <w:sz w:val="19"/>
              </w:rPr>
              <w:t>§2.2, §9.2, §9.6</w:t>
            </w:r>
          </w:p>
        </w:tc>
      </w:tr>
      <w:tr>
        <w:tc>
          <w:tcPr>
            <w:tcW w:type="dxa" w:w="2041"/>
          </w:tcPr>
          <w:p>
            <w:r/>
            <w:r>
              <w:rPr>
                <w:b w:val="0"/>
                <w:sz w:val="19"/>
              </w:rPr>
              <w:t>Dépendances (D3)</w:t>
            </w:r>
          </w:p>
        </w:tc>
        <w:tc>
          <w:tcPr>
            <w:tcW w:type="dxa" w:w="6009"/>
          </w:tcPr>
          <w:p>
            <w:r/>
            <w:r>
              <w:rPr>
                <w:b w:val="0"/>
                <w:sz w:val="19"/>
              </w:rPr>
              <w:t>vue-pdf-embed, lucide-vue-next et @vueuse/core retirés (inutilisés) ; Vue reste en 3.6.0-beta.9.</w:t>
            </w:r>
          </w:p>
        </w:tc>
        <w:tc>
          <w:tcPr>
            <w:tcW w:type="dxa" w:w="1474"/>
          </w:tcPr>
          <w:p>
            <w:r/>
            <w:r>
              <w:rPr>
                <w:b w:val="0"/>
                <w:sz w:val="19"/>
              </w:rPr>
              <w:t>§2.2</w:t>
            </w:r>
          </w:p>
        </w:tc>
      </w:tr>
      <w:tr>
        <w:tc>
          <w:tcPr>
            <w:tcW w:type="dxa" w:w="2041"/>
          </w:tcPr>
          <w:p>
            <w:r/>
            <w:r>
              <w:rPr>
                <w:b w:val="0"/>
                <w:sz w:val="19"/>
              </w:rPr>
              <w:t>Écran de génération (D4)</w:t>
            </w:r>
          </w:p>
        </w:tc>
        <w:tc>
          <w:tcPr>
            <w:tcW w:type="dxa" w:w="6009"/>
          </w:tcPr>
          <w:p>
            <w:r/>
            <w:r>
              <w:rPr>
                <w:b w:val="0"/>
                <w:sz w:val="19"/>
              </w:rPr>
              <w:t>PaiementGeneration.vue recharge le lot après l'échec d'une génération.</w:t>
            </w:r>
          </w:p>
        </w:tc>
        <w:tc>
          <w:tcPr>
            <w:tcW w:type="dxa" w:w="1474"/>
          </w:tcPr>
          <w:p>
            <w:r/>
            <w:r>
              <w:rPr>
                <w:b w:val="0"/>
                <w:sz w:val="19"/>
              </w:rPr>
              <w:t>§4.3</w:t>
            </w:r>
          </w:p>
        </w:tc>
      </w:tr>
      <w:tr>
        <w:tc>
          <w:tcPr>
            <w:tcW w:type="dxa" w:w="2041"/>
          </w:tcPr>
          <w:p>
            <w:r/>
            <w:r>
              <w:rPr>
                <w:b w:val="0"/>
                <w:sz w:val="19"/>
              </w:rPr>
              <w:t>Interface</w:t>
            </w:r>
          </w:p>
        </w:tc>
        <w:tc>
          <w:tcPr>
            <w:tcW w:type="dxa" w:w="6009"/>
          </w:tcPr>
          <w:p>
            <w:r/>
            <w:r>
              <w:rPr>
                <w:b w:val="0"/>
                <w:sz w:val="19"/>
              </w:rPr>
              <w:t>AppAlert : contenu du slot en un seul bloc (bandeau de l'écran Signatures). Fiche et aperçu d'un OM : libellés de la répartition alignés sur le PDF (utils/repartition.ts, miroir de PdfGenerator::libellesRepartition). Configuration e-mail : les 7 notifications de NotificationContenu.</w:t>
            </w:r>
          </w:p>
        </w:tc>
        <w:tc>
          <w:tcPr>
            <w:tcW w:type="dxa" w:w="1474"/>
          </w:tcPr>
          <w:p>
            <w:r/>
            <w:r>
              <w:rPr>
                <w:b w:val="0"/>
                <w:sz w:val="19"/>
              </w:rPr>
              <w:t>§3.4, §4.4</w:t>
            </w:r>
          </w:p>
        </w:tc>
      </w:tr>
      <w:tr>
        <w:tc>
          <w:tcPr>
            <w:tcW w:type="dxa" w:w="2041"/>
          </w:tcPr>
          <w:p>
            <w:r/>
            <w:r>
              <w:rPr>
                <w:b w:val="0"/>
                <w:sz w:val="19"/>
              </w:rPr>
              <w:t>Maquettes</w:t>
            </w:r>
          </w:p>
        </w:tc>
        <w:tc>
          <w:tcPr>
            <w:tcW w:type="dxa" w:w="6009"/>
          </w:tcPr>
          <w:p>
            <w:r/>
            <w:r>
              <w:rPr>
                <w:b w:val="0"/>
                <w:sz w:val="19"/>
              </w:rPr>
              <w:t>Galerie et pages d'écran tirées des captures de l'application réelle (docs/capturer_ecrans.cjs, docs/generer_maquettes.py) ; remplacent les maquettes d'août 2026.</w:t>
            </w:r>
          </w:p>
        </w:tc>
        <w:tc>
          <w:tcPr>
            <w:tcW w:type="dxa" w:w="1474"/>
          </w:tcPr>
          <w:p>
            <w:r/>
            <w:r>
              <w:rPr>
                <w:b w:val="0"/>
                <w:sz w:val="19"/>
              </w:rPr>
              <w:t>§2.3</w:t>
            </w:r>
          </w:p>
        </w:tc>
      </w:tr>
      <w:tr>
        <w:tc>
          <w:tcPr>
            <w:tcW w:type="dxa" w:w="2041"/>
          </w:tcPr>
          <w:p>
            <w:r/>
            <w:r>
              <w:rPr>
                <w:b w:val="0"/>
                <w:sz w:val="19"/>
              </w:rPr>
              <w:t>Tests</w:t>
            </w:r>
          </w:p>
        </w:tc>
        <w:tc>
          <w:tcPr>
            <w:tcW w:type="dxa" w:w="6009"/>
          </w:tcPr>
          <w:p>
            <w:r/>
            <w:r>
              <w:rPr>
                <w:b w:val="0"/>
                <w:sz w:val="19"/>
              </w:rPr>
              <w:t>FuseauHoraireTest, NotificationModelesEcranTest (écran e-mail ↔ NotificationContenu), tests des destinataires, écran Maintenance sur 503 ; Pest 599, Vitest 135.</w:t>
            </w:r>
          </w:p>
        </w:tc>
        <w:tc>
          <w:tcPr>
            <w:tcW w:type="dxa" w:w="1474"/>
          </w:tcPr>
          <w:p>
            <w:r/>
            <w:r>
              <w:rPr>
                <w:b w:val="0"/>
                <w:sz w:val="19"/>
              </w:rPr>
              <w:t>§10</w:t>
            </w:r>
          </w:p>
        </w:tc>
      </w:tr>
      <w:tr>
        <w:tc>
          <w:tcPr>
            <w:tcW w:type="dxa" w:w="2041"/>
          </w:tcPr>
          <w:p>
            <w:r/>
            <w:r>
              <w:rPr>
                <w:b w:val="0"/>
                <w:sz w:val="19"/>
              </w:rPr>
              <w:t>Part de la mission (27/10)</w:t>
            </w:r>
          </w:p>
        </w:tc>
        <w:tc>
          <w:tcPr>
            <w:tcW w:type="dxa" w:w="6009"/>
          </w:tcPr>
          <w:p>
            <w:r/>
            <w:r>
              <w:rPr>
                <w:b w:val="0"/>
                <w:sz w:val="19"/>
              </w:rPr>
              <w:t>Mission::partAvanceReelle (Σ avances / Σ montants des OM, hors rejetés, annulés et amendés à avance engagée), exposée en part_avance (état, récapitulatif, aperçu d'un lot) : l'écran de l'état et le choix de la tranche affichent la part des OM, pas le réglage du jour. Chaîne des montants vérifiée à 55 %.</w:t>
            </w:r>
          </w:p>
        </w:tc>
        <w:tc>
          <w:tcPr>
            <w:tcW w:type="dxa" w:w="1474"/>
          </w:tcPr>
          <w:p>
            <w:r/>
            <w:r>
              <w:rPr>
                <w:b w:val="0"/>
                <w:sz w:val="19"/>
              </w:rPr>
              <w:t>§5</w:t>
            </w:r>
          </w:p>
        </w:tc>
      </w:tr>
      <w:tr>
        <w:tc>
          <w:tcPr>
            <w:tcW w:type="dxa" w:w="2041"/>
          </w:tcPr>
          <w:p>
            <w:r/>
            <w:r>
              <w:rPr>
                <w:b w:val="0"/>
                <w:sz w:val="19"/>
              </w:rPr>
              <w:t>Réglages de Paramètres (28/10)</w:t>
            </w:r>
          </w:p>
        </w:tc>
        <w:tc>
          <w:tcPr>
            <w:tcW w:type="dxa" w:w="6009"/>
          </w:tcPr>
          <w:p>
            <w:r/>
            <w:r>
              <w:rPr>
                <w:b w:val="0"/>
                <w:sz w:val="19"/>
              </w:rPr>
              <w:t>Appliqués par le serveur (App\Support\Parametres, cache 60 s, absents = comportement d'avant, 422 hors domaine) : opérateurs MTN / Moov (génération refusée), tentatives de connexion (limiteur login), durée de session (callback Sanctum, remplace SANCTUM_EXPIRATION), HTTPS forcé (middleware ForcerHttps), connexions échouées journalisées (LOGIN_ECHEC), mode maintenance (middleware MaintenanceApplication : 503 sauf SUPER_ADMIN), notifications par type, nom de l'application (route publique GET /admin/parametres/application, titre de l'onglet, objet des e-mails).</w:t>
            </w:r>
          </w:p>
        </w:tc>
        <w:tc>
          <w:tcPr>
            <w:tcW w:type="dxa" w:w="1474"/>
          </w:tcPr>
          <w:p>
            <w:r/>
            <w:r>
              <w:rPr>
                <w:b w:val="0"/>
                <w:sz w:val="19"/>
              </w:rPr>
              <w:t>§6, §7</w:t>
            </w:r>
          </w:p>
        </w:tc>
      </w:tr>
      <w:tr>
        <w:tc>
          <w:tcPr>
            <w:tcW w:type="dxa" w:w="2041"/>
          </w:tcPr>
          <w:p>
            <w:r/>
            <w:r>
              <w:rPr>
                <w:b w:val="0"/>
                <w:sz w:val="19"/>
              </w:rPr>
              <w:t>Contrat d'API (28/10)</w:t>
            </w:r>
          </w:p>
        </w:tc>
        <w:tc>
          <w:tcPr>
            <w:tcW w:type="dxa" w:w="6009"/>
          </w:tcPr>
          <w:p>
            <w:r/>
            <w:r>
              <w:rPr>
                <w:b w:val="0"/>
                <w:sz w:val="19"/>
              </w:rPr>
              <w:t>OpenApiReponsesTest : réponses réelles d'une trentaine de routes validées contre openapi.yaml en mode strict (validateur tests/Support/OpenApiSchema.php, sans dépendance) ; openapi.yaml complété (pagination, régularisations, LignePerDiem, Signataire, enveloppe message).</w:t>
            </w:r>
          </w:p>
        </w:tc>
        <w:tc>
          <w:tcPr>
            <w:tcW w:type="dxa" w:w="1474"/>
          </w:tcPr>
          <w:p>
            <w:r/>
            <w:r>
              <w:rPr>
                <w:b w:val="0"/>
                <w:sz w:val="19"/>
              </w:rPr>
              <w:t>§7, §10</w:t>
            </w:r>
          </w:p>
        </w:tc>
      </w:tr>
      <w:tr>
        <w:tc>
          <w:tcPr>
            <w:tcW w:type="dxa" w:w="2041"/>
          </w:tcPr>
          <w:p>
            <w:r/>
            <w:r>
              <w:rPr>
                <w:b w:val="0"/>
                <w:sz w:val="19"/>
              </w:rPr>
              <w:t>Tests (28/10)</w:t>
            </w:r>
          </w:p>
        </w:tc>
        <w:tc>
          <w:tcPr>
            <w:tcW w:type="dxa" w:w="6009"/>
          </w:tcPr>
          <w:p>
            <w:r/>
            <w:r>
              <w:rPr>
                <w:b w:val="0"/>
                <w:sz w:val="19"/>
              </w:rPr>
              <w:t>45 tests des écrans critiques (saisie de mission, état, signatures, matrice des permissions) ; agent en double signalé dès la saisie ; message français sur un 429. Pest 652, Vitest 194.</w:t>
            </w:r>
          </w:p>
        </w:tc>
        <w:tc>
          <w:tcPr>
            <w:tcW w:type="dxa" w:w="1474"/>
          </w:tcPr>
          <w:p>
            <w:r/>
            <w:r>
              <w:rPr>
                <w:b w:val="0"/>
                <w:sz w:val="19"/>
              </w:rPr>
              <w:t>§10</w:t>
            </w:r>
          </w:p>
        </w:tc>
      </w:tr>
    </w:tbl>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r>
        <w:tc>
          <w:tcPr>
            <w:tcW w:type="dxa" w:w="2041"/>
          </w:tcPr>
          <w:p>
            <w:r/>
            <w:r>
              <w:rPr>
                <w:b w:val="0"/>
                <w:sz w:val="19"/>
              </w:rPr>
              <w:t>Solde d'un OM</w:t>
            </w:r>
          </w:p>
        </w:tc>
        <w:tc>
          <w:tcPr>
            <w:tcW w:type="dxa" w:w="6009"/>
          </w:tcPr>
          <w:p>
            <w:r/>
            <w:r>
              <w:rPr>
                <w:b w:val="0"/>
                <w:sz w:val="19"/>
              </w:rPr>
              <w:t>SOLDE quand tous les versements NON NULS sont réglés (CONFIRME, ou RECOUVRE pour un trop-perçu) : à la confirmation d'un lot, au constat d'un recouvrement et après un amendement qui ramène le reliquat à 0. Une tranche nulle (part d'avance 0 ou 100 %) ne retient pas l'OM. Un OM exonéré est soldé dès sa validation, dans les deux circuits (n° 19, 23, 24, 26).</w:t>
            </w:r>
          </w:p>
        </w:tc>
        <w:tc>
          <w:tcPr>
            <w:tcW w:type="dxa" w:w="1474"/>
          </w:tcPr>
          <w:p>
            <w:r/>
            <w:r>
              <w:rPr>
                <w:b w:val="0"/>
                <w:sz w:val="19"/>
              </w:rPr>
              <w:t>§4.3, §4.6</w:t>
            </w:r>
          </w:p>
        </w:tc>
      </w:tr>
      <w:tr>
        <w:tc>
          <w:tcPr>
            <w:tcW w:type="dxa" w:w="2041"/>
          </w:tcPr>
          <w:p>
            <w:r/>
            <w:r>
              <w:rPr>
                <w:b w:val="0"/>
                <w:sz w:val="19"/>
              </w:rPr>
              <w:t>Exercice</w:t>
            </w:r>
          </w:p>
        </w:tc>
        <w:tc>
          <w:tcPr>
            <w:tcW w:type="dxa" w:w="6009"/>
          </w:tcPr>
          <w:p>
            <w:r/>
            <w:r>
              <w:rPr>
                <w:b w:val="0"/>
                <w:sz w:val="19"/>
              </w:rPr>
              <w:t>L'écran Paramètres propose l'exercice déterminé par le mois de début, et non l'année civile (n° 20).</w:t>
            </w:r>
          </w:p>
        </w:tc>
        <w:tc>
          <w:tcPr>
            <w:tcW w:type="dxa" w:w="1474"/>
          </w:tcPr>
          <w:p>
            <w:r/>
            <w:r>
              <w:rPr>
                <w:b w:val="0"/>
                <w:sz w:val="19"/>
              </w:rPr>
              <w:t>§9.2</w:t>
            </w:r>
          </w:p>
        </w:tc>
      </w:tr>
      <w:tr>
        <w:tc>
          <w:tcPr>
            <w:tcW w:type="dxa" w:w="2041"/>
          </w:tcPr>
          <w:p>
            <w:r/>
            <w:r>
              <w:rPr>
                <w:b w:val="0"/>
                <w:sz w:val="19"/>
              </w:rPr>
              <w:t>Lot complémentaire</w:t>
            </w:r>
          </w:p>
        </w:tc>
        <w:tc>
          <w:tcPr>
            <w:tcW w:type="dxa" w:w="6009"/>
          </w:tcPr>
          <w:p>
            <w:r/>
            <w:r>
              <w:rPr>
                <w:b w:val="0"/>
                <w:sz w:val="19"/>
              </w:rPr>
              <w:t>L'écran de génération propose « Générer le lot complémentaire » quand l'aperçu d'un lot confirmé compte encore des bénéficiaires (n° 21).</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Refusé si le reliquat de l'OM est déjà CONFIRME (n° 22). Un OM SOLDE reste amendable hors reliquat payé ou trop-perçu recouvré ; il redevient VALIDE si un montant est de nouveau à régler (n° 28).</w:t>
            </w:r>
          </w:p>
        </w:tc>
        <w:tc>
          <w:tcPr>
            <w:tcW w:type="dxa" w:w="1474"/>
          </w:tcPr>
          <w:p>
            <w:r/>
            <w:r>
              <w:rPr>
                <w:b w:val="0"/>
                <w:sz w:val="19"/>
              </w:rPr>
              <w:t>§4.6</w:t>
            </w:r>
          </w:p>
        </w:tc>
      </w:tr>
      <w:tr>
        <w:tc>
          <w:tcPr>
            <w:tcW w:type="dxa" w:w="2041"/>
          </w:tcPr>
          <w:p>
            <w:r/>
            <w:r>
              <w:rPr>
                <w:b w:val="0"/>
                <w:sz w:val="19"/>
              </w:rPr>
              <w:t>Notifications</w:t>
            </w:r>
          </w:p>
        </w:tc>
        <w:tc>
          <w:tcPr>
            <w:tcW w:type="dxa" w:w="6009"/>
          </w:tcPr>
          <w:p>
            <w:r/>
            <w:r>
              <w:rPr>
                <w:b w:val="0"/>
                <w:sz w:val="19"/>
              </w:rPr>
              <w:t>Adressées aux seuls comptes ACTIFS (alors des profils système, droits effectifs depuis la 1.4) ; aucun e-mail vers un compte désactivé entre-temps (n° 27).</w:t>
            </w:r>
          </w:p>
        </w:tc>
        <w:tc>
          <w:tcPr>
            <w:tcW w:type="dxa" w:w="1474"/>
          </w:tcPr>
          <w:p>
            <w:r/>
            <w:r>
              <w:rPr>
                <w:b w:val="0"/>
                <w:sz w:val="19"/>
              </w:rPr>
              <w:t>§4.2, §6.3</w:t>
            </w:r>
          </w:p>
        </w:tc>
      </w:tr>
      <w:tr>
        <w:tc>
          <w:tcPr>
            <w:tcW w:type="dxa" w:w="2041"/>
          </w:tcPr>
          <w:p>
            <w:r/>
            <w:r>
              <w:rPr>
                <w:b w:val="0"/>
                <w:sz w:val="19"/>
              </w:rPr>
              <w:t>API</w:t>
            </w:r>
          </w:p>
        </w:tc>
        <w:tc>
          <w:tcPr>
            <w:tcW w:type="dxa" w:w="6009"/>
          </w:tcPr>
          <w:p>
            <w:r/>
            <w:r>
              <w:rPr>
                <w:b w:val="0"/>
                <w:sz w:val="19"/>
              </w:rPr>
              <w:t>Toute erreur d'une route /api/* répond en JSON, même sans en-tête Accept : 405, 404, 403, 422 et 500, comme le 401 (n° 29). GET/PUT /admin/settings renvoient toujours un objet (n° 32).</w:t>
            </w:r>
          </w:p>
        </w:tc>
        <w:tc>
          <w:tcPr>
            <w:tcW w:type="dxa" w:w="1474"/>
          </w:tcPr>
          <w:p>
            <w:r/>
            <w:r>
              <w:rPr>
                <w:b w:val="0"/>
                <w:sz w:val="19"/>
              </w:rPr>
              <w:t>§6.3, §7.6</w:t>
            </w:r>
          </w:p>
        </w:tc>
      </w:tr>
      <w:tr>
        <w:tc>
          <w:tcPr>
            <w:tcW w:type="dxa" w:w="2041"/>
          </w:tcPr>
          <w:p>
            <w:r/>
            <w:r>
              <w:rPr>
                <w:b w:val="0"/>
                <w:sz w:val="19"/>
              </w:rPr>
              <w:t>Signatures</w:t>
            </w:r>
          </w:p>
        </w:tc>
        <w:tc>
          <w:tcPr>
            <w:tcW w:type="dxa" w:w="6009"/>
          </w:tcPr>
          <w:p>
            <w:r/>
            <w:r>
              <w:rPr>
                <w:b w:val="0"/>
                <w:sz w:val="19"/>
              </w:rPr>
              <w:t>Nom et fonction figés à la signature : Paramètres › Signatures, sinon le compte du signataire (fonction posée par ComptesCircuitSeeder), sinon le libellé du poste (n° 30). ComptesCircuitSeeder ne rétrograde jamais un super administrateur (n° 31).</w:t>
            </w:r>
          </w:p>
        </w:tc>
        <w:tc>
          <w:tcPr>
            <w:tcW w:type="dxa" w:w="1474"/>
          </w:tcPr>
          <w:p>
            <w:r/>
            <w:r>
              <w:rPr>
                <w:b w:val="0"/>
                <w:sz w:val="19"/>
              </w:rPr>
              <w:t>§3.5, §9.4</w:t>
            </w:r>
          </w:p>
        </w:tc>
      </w:tr>
      <w:tr>
        <w:tc>
          <w:tcPr>
            <w:tcW w:type="dxa" w:w="2041"/>
          </w:tcPr>
          <w:p>
            <w:r/>
            <w:r>
              <w:rPr>
                <w:b w:val="0"/>
                <w:sz w:val="19"/>
              </w:rPr>
              <w:t>Référence API</w:t>
            </w:r>
          </w:p>
        </w:tc>
        <w:tc>
          <w:tcPr>
            <w:tcW w:type="dxa" w:w="6009"/>
          </w:tcPr>
          <w:p>
            <w:r/>
            <w:r>
              <w:rPr>
                <w:b w:val="0"/>
                <w:sz w:val="19"/>
              </w:rPr>
              <w:t>openapi.yaml validée OpenAPI 3.0.3 et confrontée aux réponses réelles (routes GET et parcours d'écriture complet) le 25/10/2026.</w:t>
            </w:r>
          </w:p>
        </w:tc>
        <w:tc>
          <w:tcPr>
            <w:tcW w:type="dxa" w:w="1474"/>
          </w:tcPr>
          <w:p>
            <w:r/>
            <w:r>
              <w:rPr>
                <w:b w:val="0"/>
                <w:sz w:val="19"/>
              </w:rPr>
              <w:t>§7.1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3.6 bêta (Composition API)</w:t>
            </w:r>
          </w:p>
        </w:tc>
        <w:tc>
          <w:tcPr>
            <w:tcW w:type="dxa" w:w="4649"/>
          </w:tcPr>
          <w:p>
            <w:r/>
            <w:r>
              <w:rPr>
                <w:b w:val="0"/>
                <w:sz w:val="19"/>
              </w:rPr>
              <w:t>Framework JavaScript principal — version figée par package-lock.json (3.6.0-beta.9) : installer avec npm ci</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8.4.x, 64 bits</w:t>
            </w:r>
          </w:p>
        </w:tc>
        <w:tc>
          <w:tcPr>
            <w:tcW w:type="dxa" w:w="4195"/>
          </w:tcPr>
          <w:p>
            <w:r/>
            <w:r>
              <w:rPr>
                <w:b w:val="0"/>
                <w:sz w:val="19"/>
              </w:rPr>
              <w:t>Langage backend : minimum imposé par composer.lock (Symfony 8, activitylog) ; 8.5 non pris en charge (PhpSpreadsheet déclare &lt; 8.5.0)</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 ; horodatages à l'heure du Bénin (Africa/Porto-Novo), API en UTC</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             permissions (miroir RBAC : guards + v-permission), benin, exercice,</w:t>
            </w:r>
          </w:p>
          <w:p>
            <w:r>
              <w:rPr>
                <w:rFonts w:ascii="Consolas" w:hAnsi="Consolas"/>
                <w:color w:val="FFFFFF"/>
                <w:sz w:val="18"/>
              </w:rPr>
              <w:t xml:space="preserve">                           repartition (libellés avance / reliquat, miroir de PdfGenerator)</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00_galerie_index.html…  Galerie des écrans réels (captures docs/ecrans/, generer_maquettes.py)</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 Après un amendement, la fiche et l'aperçu OM-07 affichent les libellés du PDF officiel (« Avance engagée », « Reliquat (ajusté par amendement) », « Trop-perçu ») ; sinon le pourcentage réel de l'OM (utils/repartition.ts).</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 Nom et fonction sont figés à chaque signature, dans cet ordre : Paramètres › Signatures, sinon le compte du signataire, sinon le libellé du poste (« Le Directeur Général »…).</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 ; après confirmation d'un lot, le bouton devient « Générer le lot complémentaire » tant que l'aperçu compte un bénéficiaire.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 Sur ce circuit, un OM exonéré (montant nul) passe directement SOLDE.</w:t>
      </w:r>
    </w:p>
    <w:p>
      <w:pPr>
        <w:pStyle w:val="ListBullet"/>
      </w:pPr>
      <w:r>
        <w:t>Notifications (cloche + e-mail, NotificationService::notifier), adressées aux comptes ACTIFS qui détiennent la permission de l'étape suivante dans leurs droits EFFECTIFS (profil, rôle personnalisé, accords et retraits individuels) : om.valider / om.viser / om.approuver pour le signataire suivant, paiements.generer à la validation finale, om.retranscrire au rejet. Le SUPER_ADMIN n'est pas visé ; un compte visé à deux titres ne reçoit qu'une notification.</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dont tous les versements non nuls sont réglés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ListBullet"/>
      </w:pPr>
      <w:r>
        <w:t>En QUEUE_CONNECTION=sync (production cPanel), le job tourne dans la requête : le gros lot répond 202 seulement si la génération réussit ; sinon l'erreur revient dans la réponse même (après failed()). L'écran recharge alors le lot : un lot passé en ERREUR n'offre plus « Confirmer ».</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le reliquat est déjà CONFIRME (payé : avenant formel) ; si un trop-perçu est déjà RECOUVRE. Un OM SOLDE reste amendable hors ces deux derniers cas.</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Statut</w:t>
            </w:r>
          </w:p>
        </w:tc>
        <w:tc>
          <w:tcPr>
            <w:tcW w:type="dxa" w:w="7483"/>
          </w:tcPr>
          <w:p>
            <w:r/>
            <w:r>
              <w:rPr>
                <w:b w:val="0"/>
                <w:sz w:val="19"/>
              </w:rPr>
              <w:t>Un OM SOLDE à qui l'amendement recrée un montant à régler redevient VALIDE ; un reliquat ramené à 0, avance payée, solde l'OM (OrdreMission::solderSiRegle).</w:t>
            </w:r>
          </w:p>
        </w:tc>
      </w:tr>
      <w:tr>
        <w:tc>
          <w:tcPr>
            <w:tcW w:type="dxa" w:w="454"/>
          </w:tcPr>
          <w:p>
            <w:r/>
            <w:r>
              <w:rPr>
                <w:b w:val="0"/>
                <w:sz w:val="19"/>
              </w:rPr>
              <w:t>6</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aux détenteurs de paiements.confirmer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ou si son reliquat est CONFIRME (cf. §4.6).</w:t>
            </w:r>
          </w:p>
        </w:tc>
        <w:tc>
          <w:tcPr>
            <w:tcW w:type="dxa" w:w="2041"/>
          </w:tcPr>
          <w:p>
            <w:r/>
            <w:r>
              <w:rPr>
                <w:b w:val="0"/>
                <w:sz w:val="19"/>
              </w:rPr>
              <w:t>API</w:t>
            </w:r>
          </w:p>
        </w:tc>
      </w:tr>
      <w:tr>
        <w:tc>
          <w:tcPr>
            <w:tcW w:type="dxa" w:w="2041"/>
          </w:tcPr>
          <w:p>
            <w:r/>
            <w:r>
              <w:rPr>
                <w:b w:val="0"/>
                <w:sz w:val="19"/>
              </w:rPr>
              <w:t>Solde</w:t>
            </w:r>
          </w:p>
        </w:tc>
        <w:tc>
          <w:tcPr>
            <w:tcW w:type="dxa" w:w="5443"/>
          </w:tcPr>
          <w:p>
            <w:r/>
            <w:r>
              <w:rPr>
                <w:b w:val="0"/>
                <w:sz w:val="19"/>
              </w:rPr>
              <w:t>OM SOLDE quand tous ses versements non nuls sont CONFIRME ou RECOUVRE ; OM exonéré soldé à sa validation.</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erreur d'une route /api/* répond en JSON, même sans en-tête Accept : 401 (aucune redirection vers une page de login), 405, 404, 403, 422 et 500 (bootstrap/app.php).</w:t>
      </w:r>
    </w:p>
    <w:p>
      <w:pPr>
        <w:pStyle w:val="ListBullet"/>
      </w:pPr>
      <w:r>
        <w:t>Notifications et e-mails réservés aux comptes actifs détenant la permission de l'étape (droits effectifs) ; un compte désactivé n'en reçoit plus, le SUPER_ADMIN n'est pas visé.</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 25/10/2026, le document a été validé OpenAPI 3.0.3 et les réponses réelles confrontées aux schémas (routes GET et parcours d'écriture complet).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 / 405</w:t>
            </w:r>
          </w:p>
        </w:tc>
        <w:tc>
          <w:tcPr>
            <w:tcW w:type="dxa" w:w="2948"/>
          </w:tcPr>
          <w:p>
            <w:r/>
            <w:r>
              <w:rPr>
                <w:b w:val="0"/>
                <w:sz w:val="19"/>
              </w:rPr>
              <w:t>Introuvable / méthode non permise</w:t>
            </w:r>
          </w:p>
        </w:tc>
        <w:tc>
          <w:tcPr>
            <w:tcW w:type="dxa" w:w="4762"/>
          </w:tcPr>
          <w:p>
            <w:r/>
            <w:r>
              <w:rPr>
                <w:b w:val="0"/>
                <w:sz w:val="19"/>
              </w:rPr>
              <w:t>Ressource ou route inexistante / ex. GET sur /api/auth/login (toujours en JSON)</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APP_TIMEZONE</w:t>
            </w:r>
          </w:p>
        </w:tc>
        <w:tc>
          <w:tcPr>
            <w:tcW w:type="dxa" w:w="5443"/>
          </w:tcPr>
          <w:p>
            <w:r/>
            <w:r>
              <w:rPr>
                <w:b w:val="0"/>
                <w:sz w:val="19"/>
              </w:rPr>
              <w:t>Fuseau de l'application : Africa/Porto-Novo par défaut (heure du Bénin). À fixer AVANT la migration du fuseau ; UTC la rend sans effet</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Laissée vide : authentification par jeton Bearer, sans cookie inter-domaines</w:t>
            </w:r>
          </w:p>
        </w:tc>
      </w:tr>
      <w:tr>
        <w:tc>
          <w:tcPr>
            <w:tcW w:type="dxa" w:w="4082"/>
          </w:tcPr>
          <w:p>
            <w:r/>
            <w:r>
              <w:rPr>
                <w:b w:val="0"/>
                <w:sz w:val="19"/>
              </w:rPr>
              <w:t>FRONTEND_URL / CORS_ALLOWED_ORIGINS</w:t>
            </w:r>
          </w:p>
        </w:tc>
        <w:tc>
          <w:tcPr>
            <w:tcW w:type="dxa" w:w="5443"/>
          </w:tcPr>
          <w:p>
            <w:r/>
            <w:r>
              <w:rPr>
                <w:b w:val="0"/>
                <w:sz w:val="19"/>
              </w:rPr>
              <w:t>Racine du SPA (liens des e-mails de réinitialisation) / origine autorisée</w:t>
            </w:r>
          </w:p>
        </w:tc>
      </w:tr>
      <w:tr>
        <w:tc>
          <w:tcPr>
            <w:tcW w:type="dxa" w:w="4082"/>
          </w:tcPr>
          <w:p>
            <w:r/>
            <w:r>
              <w:rPr>
                <w:b w:val="0"/>
                <w:sz w:val="19"/>
              </w:rPr>
              <w:t>MTN_COMPTE / PAIEMENT_ASYNC_SEUIL</w:t>
            </w:r>
          </w:p>
        </w:tc>
        <w:tc>
          <w:tcPr>
            <w:tcW w:type="dxa" w:w="5443"/>
          </w:tcPr>
          <w:p>
            <w:r/>
            <w:r>
              <w:rPr>
                <w:b w:val="0"/>
                <w:sz w:val="19"/>
              </w:rPr>
              <w:t>Compte payeur de l'en-tête MTN (HDR) / seuil de bascule en file (50)</w:t>
            </w:r>
          </w:p>
        </w:tc>
      </w:tr>
      <w:tr>
        <w:tc>
          <w:tcPr>
            <w:tcW w:type="dxa" w:w="4082"/>
          </w:tcPr>
          <w:p>
            <w:r/>
            <w:r>
              <w:rPr>
                <w:b w:val="0"/>
                <w:sz w:val="19"/>
              </w:rPr>
              <w:t>WORKFLOW_SEPARATION_TACHES</w:t>
            </w:r>
          </w:p>
        </w:tc>
        <w:tc>
          <w:tcPr>
            <w:tcW w:type="dxa" w:w="5443"/>
          </w:tcPr>
          <w:p>
            <w:r/>
            <w:r>
              <w:rPr>
                <w:b w:val="0"/>
                <w:sz w:val="19"/>
              </w:rPr>
              <w:t>Séparation des tâches du circuit (true par défaut)</w:t>
            </w:r>
          </w:p>
        </w:tc>
      </w:tr>
      <w:tr>
        <w:tc>
          <w:tcPr>
            <w:tcW w:type="dxa" w:w="4082"/>
          </w:tcPr>
          <w:p>
            <w:r/>
            <w:r>
              <w:rPr>
                <w:b w:val="0"/>
                <w:sz w:val="19"/>
              </w:rPr>
              <w:t>CONTROLEUR_* / DAF_* / DG_*</w:t>
            </w:r>
          </w:p>
        </w:tc>
        <w:tc>
          <w:tcPr>
            <w:tcW w:type="dxa" w:w="5443"/>
          </w:tcPr>
          <w:p>
            <w:r/>
            <w:r>
              <w:rPr>
                <w:b w:val="0"/>
                <w:sz w:val="19"/>
              </w:rPr>
              <w:t>Comptes nominatifs créés par ComptesCircuitSeeder (NAME, EMAIL, FONCTION)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   # mise à jour : optimize:clear AVANT migrate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ci &amp;&amp; npm run build      # npm ci : garde la bêta Vue figée par le lock</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r>
        <w:rPr>
          <w:b w:val="0"/>
          <w:i w:val="0"/>
        </w:rPr>
        <w:t>En production, les signataires du circuit se créent par php artisan db:seed --class=ComptesCircuitSeeder --force : mot de passe temporaire affiché une seule fois, changement imposé à la première connexion. Le seeder ne réinitialise aucun mot de passe et ne rétrograde jamais un super administrateur.</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8.4.x 64 bits obligatoire, ni 8.3 ni 8.5). Les correctifs n° 17 à 32 ne portent que sur le code : aucune autre migration, vendor/ inchangé, SPA à redéployer.</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2"/>
      </w:pPr>
      <w:r>
        <w:t>9.6 Mise à jour d'une instance (version 1.4)</w:t>
      </w:r>
    </w:p>
    <w:p>
      <w:pPr>
        <w:pStyle w:val="ListBullet"/>
      </w:pPr>
      <w:r>
        <w:t>Migration à jouer : 2026_10_26_090000_passer_horodatages_au_fuseau_applicatif (34 migrations en tout). Elle décale d'une heure les date-heures existantes ; à jouer une seule fois, application EN MAINTENANCE pendant l'envoi du code et la migration (une écriture intermédiaire serait décalée deux fois).</w:t>
      </w:r>
    </w:p>
    <w:p>
      <w:pPr>
        <w:pStyle w:val="ListBullet"/>
      </w:pPr>
      <w:r>
        <w:t>Purger les caches AVANT migrate (optimize:clear) : avec une configuration en cache encore en UTC, la migration ne décalerait rien. Les commandes de DEPLOY-CPANEL.md et du runbook enchaînent désormais optimize:clear → migrate → optimize:clear.</w:t>
      </w:r>
    </w:p>
    <w:p>
      <w:pPr>
        <w:pStyle w:val="ListBullet"/>
      </w:pPr>
      <w:r>
        <w:t>Contrôle : un date_paiement relevé avant la mise à jour a pris une heure en base, et l'écran affiche la même heure qu'avant (docs/checklist-post-deploiement.md §06, Version 1.4).</w:t>
      </w:r>
    </w:p>
    <w:p>
      <w:pPr>
        <w:pStyle w:val="ListBullet"/>
      </w:pPr>
      <w:r>
        <w:t>vendor/ inchangé ; SPA à redéployer (dépendances retirées, écran de génération, correctifs d'interface).</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129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652 tests au total (74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194 tests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OpenApiReponsesTest (réponses réelles ↔ schémas d'openapi.yaml, mode strict), NotificationModelesEcranTest (utils/notifications.ts ↔ NotificationContenu, utilisé par les écrans e-mail et Paramètres), ReglagesExploitationTest (chaque réglage de Paramètres appliqué) et navigation.spec.ts (menu ↔ routes ↔ API cohérents).</w:t>
      </w:r>
    </w:p>
    <w:p>
      <w:pPr>
        <w:pStyle w:val="ListBullet"/>
      </w:pPr>
      <w:r>
        <w:t>Fuseau : FuseauHoraireTest (heure du Bénin, rapport du 1er du mois à 0 h 30, sérialisation UTC, migration aller-retour) ; migration éprouvée sur MariaDB avec les données de démonstration.</w:t>
      </w:r>
    </w:p>
    <w:p>
      <w:pPr>
        <w:pStyle w:val="ListBullet"/>
      </w:pPr>
      <w:r>
        <w:t>Recette sur l'API réelle (23/10/2026, base SQLite neuve, QUEUE_CONNECTION=sync) : 83/83 contrôles conformes ; scénario de démonstration (docs/SCENARIO-DEMO.md) rejoué, conforme, puis de nouveau le 27/10 en version 1.4 (mêmes fichiers et montants, notifications de chaque signataire). Le 25/10, réponses réelles de l'API confrontées aux schémas d'openapi.yaml (openapi-core) : conformes après le n° 32 ; vérification automatisée en CI depuis le 28/10 (OpenApiReponsesTest).</w:t>
      </w:r>
    </w:p>
    <w:p>
      <w:pPr>
        <w:pStyle w:val="ListBullet"/>
      </w:pPr>
      <w:r>
        <w:t>Défauts relevés par la revue d'octobre 2026 : 32, tous corrigés avec un test vu en échec sans le correctif (index : CHANGELOG.md ; détail : docs/revue-projet-2026-10.md §3). Les quatre décisions du §7.1 sont appliquées depuis la 1.4.</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