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(26-28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Pest 690, Vitest 210 (691 / 215 le 29/10).</w:t>
            </w:r>
          </w:p>
        </w:tc>
        <w:tc>
          <w:tcPr>
            <w:tcW w:type="dxa" w:w="1474"/>
          </w:tcPr>
          <w:p>
            <w:r/>
            <w:r>
              <w:rPr>
                <w:b w:val="0"/>
                <w:sz w:val="19"/>
              </w:rPr>
              <w:t>§7.6, §9.6</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49) : code seul, aucune migration de plus.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691 tests au total (76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215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w:t>
      </w:r>
    </w:p>
    <w:p>
      <w:pPr>
        <w:pStyle w:val="ListBullet"/>
      </w:pPr>
      <w:r>
        <w:t>Défauts relevés par la revue d'octobre 2026 : 32, puis 17 de plus du 27 au 29/10 (n° 33 à 49, en confrontant la documentation au code et à l'interface),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