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1.3.0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r>
        <w:tc>
          <w:tcPr>
            <w:tcW w:type="dxa" w:w="2041"/>
          </w:tcPr>
          <w:p>
            <w:r/>
            <w:r>
              <w:rPr>
                <w:b w:val="0"/>
                <w:sz w:val="19"/>
              </w:rPr>
              <w:t>Files d'attente</w:t>
            </w:r>
          </w:p>
        </w:tc>
        <w:tc>
          <w:tcPr>
            <w:tcW w:type="dxa" w:w="6009"/>
          </w:tcPr>
          <w:p>
            <w:r/>
            <w:r>
              <w:rPr>
                <w:b w:val="0"/>
                <w:sz w:val="19"/>
              </w:rPr>
              <w:t>Échec définitif d'un gros lot : le lot passe ERREUR par LotPaiementService::marquerErreur (versements EN_ATTENTE, audit ERROR_LOT) ; la tâche Cron du worker nomme les trois files.</w:t>
            </w:r>
          </w:p>
        </w:tc>
        <w:tc>
          <w:tcPr>
            <w:tcW w:type="dxa" w:w="1474"/>
          </w:tcPr>
          <w:p>
            <w:r/>
            <w:r>
              <w:rPr>
                <w:b w:val="0"/>
                <w:sz w:val="19"/>
              </w:rPr>
              <w:t>§4.3, §9.3</w:t>
            </w:r>
          </w:p>
        </w:tc>
      </w:tr>
      <w:tr>
        <w:tc>
          <w:tcPr>
            <w:tcW w:type="dxa" w:w="2041"/>
          </w:tcPr>
          <w:p>
            <w:r/>
            <w:r>
              <w:rPr>
                <w:b w:val="0"/>
                <w:sz w:val="19"/>
              </w:rPr>
              <w:t>Sauvegardes</w:t>
            </w:r>
          </w:p>
        </w:tc>
        <w:tc>
          <w:tcPr>
            <w:tcW w:type="dxa" w:w="6009"/>
          </w:tcPr>
          <w:p>
            <w:r/>
            <w:r>
              <w:rPr>
                <w:b w:val="0"/>
                <w:sz w:val="19"/>
              </w:rPr>
              <w:t>Liste triée par date du fichier (la plus récente en tête), et non plus par nom.</w:t>
            </w:r>
          </w:p>
        </w:tc>
        <w:tc>
          <w:tcPr>
            <w:tcW w:type="dxa" w:w="1474"/>
          </w:tcPr>
          <w:p>
            <w:r/>
            <w:r>
              <w:rPr>
                <w:b w:val="0"/>
                <w:sz w:val="19"/>
              </w:rPr>
              <w:t>§4.7</w:t>
            </w:r>
          </w:p>
        </w:tc>
      </w:tr>
      <w:tr>
        <w:tc>
          <w:tcPr>
            <w:tcW w:type="dxa" w:w="2041"/>
          </w:tcPr>
          <w:p>
            <w:r/>
            <w:r>
              <w:rPr>
                <w:b w:val="0"/>
                <w:sz w:val="19"/>
              </w:rPr>
              <w:t>Référence API</w:t>
            </w:r>
          </w:p>
        </w:tc>
        <w:tc>
          <w:tcPr>
            <w:tcW w:type="dxa" w:w="6009"/>
          </w:tcPr>
          <w:p>
            <w:r/>
            <w:r>
              <w:rPr>
                <w:b w:val="0"/>
                <w:sz w:val="19"/>
              </w:rPr>
              <w:t>backend/docs/openapi.yaml réécrite sur les routes réelles (96 opérations, permission x-permission) et verrouillée par OpenApiTest.</w:t>
            </w:r>
          </w:p>
        </w:tc>
        <w:tc>
          <w:tcPr>
            <w:tcW w:type="dxa" w:w="1474"/>
          </w:tcPr>
          <w:p>
            <w:r/>
            <w:r>
              <w:rPr>
                <w:b w:val="0"/>
                <w:sz w:val="19"/>
              </w:rPr>
              <w:t>§7.1, §10</w:t>
            </w:r>
          </w:p>
        </w:tc>
      </w:tr>
      <w:tr>
        <w:tc>
          <w:tcPr>
            <w:tcW w:type="dxa" w:w="2041"/>
          </w:tcPr>
          <w:p>
            <w:r/>
            <w:r>
              <w:rPr>
                <w:b w:val="0"/>
                <w:sz w:val="19"/>
              </w:rPr>
              <w:t>Amendement</w:t>
            </w:r>
          </w:p>
        </w:tc>
        <w:tc>
          <w:tcPr>
            <w:tcW w:type="dxa" w:w="6009"/>
          </w:tcPr>
          <w:p>
            <w:r/>
            <w:r>
              <w:rPr>
                <w:b w:val="0"/>
                <w:sz w:val="19"/>
              </w:rPr>
              <w:t>Deux amendements dans la même seconde : le dernier est départagé par l'id (PDF, document de retenue, journal de la fiche).</w:t>
            </w:r>
          </w:p>
        </w:tc>
        <w:tc>
          <w:tcPr>
            <w:tcW w:type="dxa" w:w="1474"/>
          </w:tcPr>
          <w:p>
            <w:r/>
            <w:r>
              <w:rPr>
                <w:b w:val="0"/>
                <w:sz w:val="19"/>
              </w:rPr>
              <w:t>§4.4</w:t>
            </w:r>
          </w:p>
        </w:tc>
      </w:tr>
      <w:tr>
        <w:tc>
          <w:tcPr>
            <w:tcW w:type="dxa" w:w="2041"/>
          </w:tcPr>
          <w:p>
            <w:r/>
            <w:r>
              <w:rPr>
                <w:b w:val="0"/>
                <w:sz w:val="19"/>
              </w:rPr>
              <w:t>Fiche de l'OM</w:t>
            </w:r>
          </w:p>
        </w:tc>
        <w:tc>
          <w:tcPr>
            <w:tcW w:type="dxa" w:w="6009"/>
          </w:tcPr>
          <w:p>
            <w:r/>
            <w:r>
              <w:rPr>
                <w:b w:val="0"/>
                <w:sz w:val="19"/>
              </w:rPr>
              <w:t>Lien « PDF de l'OM » vers l'écran du PDF officiel (OM-07), seul accès depuis l'interface une fois l'OM validé.</w:t>
            </w:r>
          </w:p>
        </w:tc>
        <w:tc>
          <w:tcPr>
            <w:tcW w:type="dxa" w:w="1474"/>
          </w:tcPr>
          <w:p>
            <w:r/>
            <w:r>
              <w:rPr>
                <w:b w:val="0"/>
                <w:sz w:val="19"/>
              </w:rPr>
              <w:t>§4.4</w:t>
            </w:r>
          </w:p>
        </w:tc>
      </w:tr>
      <w:tr>
        <w:tc>
          <w:tcPr>
            <w:tcW w:type="dxa" w:w="2041"/>
          </w:tcPr>
          <w:p>
            <w:r/>
            <w:r>
              <w:rPr>
                <w:b w:val="0"/>
                <w:sz w:val="19"/>
              </w:rPr>
              <w:t>Code mort</w:t>
            </w:r>
          </w:p>
        </w:tc>
        <w:tc>
          <w:tcPr>
            <w:tcW w:type="dxa" w:w="6009"/>
          </w:tcPr>
          <w:p>
            <w:r/>
            <w:r>
              <w:rPr>
                <w:b w:val="0"/>
                <w:sz w:val="19"/>
              </w:rPr>
              <w:t>Form Requests StoreOrdreMissionRequest / UpdateOrdreMissionRequest supprimées (les OM ne se créent que via /missions).</w:t>
            </w:r>
          </w:p>
        </w:tc>
        <w:tc>
          <w:tcPr>
            <w:tcW w:type="dxa" w:w="1474"/>
          </w:tcPr>
          <w:p>
            <w:r/>
            <w:r>
              <w:rPr>
                <w:b w:val="0"/>
                <w:sz w:val="19"/>
              </w:rPr>
              <w:t>§2.3, §9.5</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(gros lots de paiement, exports de rapports). Déploiement : WampServer + start-dev.ps1 (dev) ; hébergement cPanel mutualisé (prod, DEPLOY-CPANEL.md).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3.x (Composition API)</w:t>
            </w:r>
          </w:p>
        </w:tc>
        <w:tc>
          <w:tcPr>
            <w:tcW w:type="dxa" w:w="4649"/>
          </w:tcPr>
          <w:p>
            <w:r/>
            <w:r>
              <w:rPr>
                <w:b w:val="0"/>
                <w:sz w:val="19"/>
              </w:rPr>
              <w:t>Framework JavaScript principal</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VuePDF</w:t>
            </w:r>
          </w:p>
        </w:tc>
        <w:tc>
          <w:tcPr>
            <w:tcW w:type="dxa" w:w="2268"/>
          </w:tcPr>
          <w:p>
            <w:r/>
            <w:r>
              <w:rPr>
                <w:b w:val="0"/>
                <w:sz w:val="19"/>
              </w:rPr>
              <w:t>—</w:t>
            </w:r>
          </w:p>
        </w:tc>
        <w:tc>
          <w:tcPr>
            <w:tcW w:type="dxa" w:w="4649"/>
          </w:tcPr>
          <w:p>
            <w:r/>
            <w:r>
              <w:rPr>
                <w:b w:val="0"/>
                <w:sz w:val="19"/>
              </w:rPr>
              <w:t>Aperçu PDF dans le navigateur</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w:t>
            </w:r>
          </w:p>
        </w:tc>
        <w:tc>
          <w:tcPr>
            <w:tcW w:type="dxa" w:w="4195"/>
          </w:tcPr>
          <w:p>
            <w:r/>
            <w:r>
              <w:rPr>
                <w:b w:val="0"/>
                <w:sz w:val="19"/>
              </w:rPr>
              <w:t>Langage backend (minimum imposé par composer.lock : Symfony 8)</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notifications, ordres-mission)</w:t>
            </w:r>
          </w:p>
          <w:p>
            <w:r>
              <w:rPr>
                <w:rFonts w:ascii="Consolas" w:hAnsi="Consolas"/>
                <w:color w:val="FFFFFF"/>
                <w:sz w:val="18"/>
              </w:rPr>
              <w:t xml:space="preserve">    src/composables/       Logique réutilisable (useApi, useAuth, usePartAvance, useSearch, useToast)</w:t>
            </w:r>
          </w:p>
          <w:p>
            <w:r>
              <w:rPr>
                <w:rFonts w:ascii="Consolas" w:hAnsi="Consolas"/>
                <w:color w:val="FFFFFF"/>
                <w:sz w:val="18"/>
              </w:rPr>
              <w:t xml:space="preserve">    src/utils/permissions.ts  Miroir RBAC frontend (guards + directive v-permission)</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app/Http/Requests/     Form Requests (validation des écritures)</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(gros lots, exports de rapports, e-mails)</w:t>
            </w:r>
          </w:p>
          <w:p>
            <w:r>
              <w:rPr>
                <w:rFonts w:ascii="Consolas" w:hAnsi="Consolas"/>
                <w:color w:val="FFFFFF"/>
                <w:sz w:val="18"/>
              </w:rPr>
              <w:t xml:space="preserve">    docs/openapi.yaml      Référence API (verrouillée par tests/Feature/OpenApiTest.php)</w:t>
            </w:r>
          </w:p>
          <w:p>
            <w:r>
              <w:rPr>
                <w:rFonts w:ascii="Consolas" w:hAnsi="Consolas"/>
                <w:color w:val="FFFFFF"/>
                <w:sz w:val="18"/>
              </w:rPr>
              <w:t xml:space="preserve">  docs/                    Documentation (.docx + scripts générateurs)</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soldé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ListBullet"/>
      </w:pPr>
      <w:r>
        <w:t>Gros lot en file (GenererLotPaiementJob, file « paiements ») : mêmes règles que la génération directe (LotPaiementService::generer). En cas d'échec définitif (après 3 tentatives, ou dès le premier échec en QUEUE_CONNECTION=sync), le suivi passe ERREUR et le dernier lot GENERE/ERREUR de la clé passe en ERREUR par LotPaiementService::marquerErreur, comme l'action manuelle : versements EN_ATTENTE, coordonnées rafraîchies, audit ERROR_LOT. Un lot CONFIRME n'est jamais touché. Détail : backend/docs/queues.md.</w:t>
      </w:r>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clique « PDF de l'OM » (écran OM-07, /ordres/:id/pdf) puis « 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ListBullet"/>
      </w:pPr>
      <w:r>
        <w:t>Dernier amendement : tri par amende_le puis id décroissants (deux amendements dans la même seconde restent ordonnés). Même ordre pour le document de retenue (motif) et le journal de la fiche OM.</w:t>
      </w:r>
    </w:p>
    <w:p>
      <w:pPr>
        <w:pStyle w:val="ListBullet"/>
      </w:pPr>
      <w:r>
        <w:t>Accès : le lien « PDF de l'OM » de la fiche est le seul chemin vers le PDF officiel ; « Télécharger le brouillon » (filigrané) n'est proposé que tant que l'OM n'est ni VALIDE ni SOLDE.</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un trop-perçu est déjà RECOUVRE.</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à l'agent financier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Consulte la liste (GET /api/admin/backups, triée par date du fichier, la plus récente en tête) et 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(cf. §4.6).</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route /api/* non authentifiée répond 401 JSON, même sans en-tête Accept (aucune redirection vers une page de login).</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 Référence exhaustive : backend/docs/openapi.yaml (OpenAPI 3, 96 opérations, chacune avec sa clé x-permission) ; OpenApiTest vérifie que chaque route y figure, sans opération en trop, avec la permission exigée par le middleware. Les tableaux ci-dessous en sont un résumé.</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w:t>
            </w:r>
          </w:p>
        </w:tc>
        <w:tc>
          <w:tcPr>
            <w:tcW w:type="dxa" w:w="4535"/>
          </w:tcPr>
          <w:p>
            <w:r/>
            <w:r>
              <w:rPr>
                <w:b w:val="0"/>
                <w:sz w:val="19"/>
              </w:rPr>
              <w:t>/api/admin/settings</w:t>
            </w:r>
          </w:p>
        </w:tc>
        <w:tc>
          <w:tcPr>
            <w:tcW w:type="dxa" w:w="3628"/>
          </w:tcPr>
          <w:p>
            <w:r/>
            <w:r>
              <w:rPr>
                <w:b w:val="0"/>
                <w:sz w:val="19"/>
              </w:rPr>
              <w:t>Paramètres système (parametres.gerer)</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w:t>
            </w:r>
          </w:p>
        </w:tc>
        <w:tc>
          <w:tcPr>
            <w:tcW w:type="dxa" w:w="2948"/>
          </w:tcPr>
          <w:p>
            <w:r/>
            <w:r>
              <w:rPr>
                <w:b w:val="0"/>
                <w:sz w:val="19"/>
              </w:rPr>
              <w:t>Introuvable</w:t>
            </w:r>
          </w:p>
        </w:tc>
        <w:tc>
          <w:tcPr>
            <w:tcW w:type="dxa" w:w="4762"/>
          </w:tcPr>
          <w:p>
            <w:r/>
            <w:r>
              <w:rPr>
                <w:b w:val="0"/>
                <w:sz w:val="19"/>
              </w:rPr>
              <w:t>Ressource inexistante</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 start-dev.ps1 / stop-dev.ps1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Hébergement cPanel mutualisé (FTP, phpMyAdmin, Cron, AutoSSL)</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Production mutualisée : file / file / sync (aucun worker ni Redis) ; database ou redis si un worker traite la file</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Domaines SPA autorisés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w:t>
            </w:r>
          </w:p>
          <w:p>
            <w:r>
              <w:rPr>
                <w:rFonts w:ascii="Consolas" w:hAnsi="Consolas"/>
                <w:color w:val="FFFFFF"/>
                <w:sz w:val="18"/>
              </w:rPr>
              <w:t>php artisan queue:work --queue=paiements,etats,default --tries=3   # worker (si QUEUE_CONNECTION ≠ sync)</w:t>
            </w:r>
          </w:p>
          <w:p>
            <w:r>
              <w:rPr>
                <w:rFonts w:ascii="Consolas" w:hAnsi="Consolas"/>
                <w:color w:val="FFFFFF"/>
                <w:sz w:val="18"/>
              </w:rPr>
              <w:t>#   Cron mutualisé (QUEUE_CONNECTION=database) : même ligne + --stop-when-empty, chaque minute</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install &amp;&amp; npm run build</w:t>
            </w:r>
          </w:p>
          <w:p>
            <w:r>
              <w:rPr>
                <w:rFonts w:ascii="Consolas" w:hAnsi="Consolas"/>
                <w:color w:val="FFFFFF"/>
                <w:sz w:val="18"/>
              </w:rPr>
            </w:r>
          </w:p>
          <w:p>
            <w:r>
              <w:rPr>
                <w:rFonts w:ascii="Consolas" w:hAnsi="Consolas"/>
                <w:color w:val="FFFFFF"/>
                <w:sz w:val="18"/>
              </w:rPr>
              <w:t># Windows : environnement de dev complet (API, worker, Vite)</w:t>
            </w:r>
          </w:p>
          <w:p>
            <w:r>
              <w:rPr>
                <w:rFonts w:ascii="Consolas" w:hAnsi="Consolas"/>
                <w:color w:val="FFFFFF"/>
                <w:sz w:val="18"/>
              </w:rPr>
              <w:t>.\start-dev.ps1 [-Install -Fresh]   /   .\stop-dev.ps1</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 obligatoire).</w:t>
      </w:r>
    </w:p>
    <w:p>
      <w:pPr>
        <w:pStyle w:val="ListBullet"/>
      </w:pPr>
      <w:r>
        <w:t>Tester une restauration (db:restore) sur un environnement de recette MySQL avant la production.</w:t>
      </w:r>
    </w:p>
    <w:p>
      <w:pPr>
        <w:pStyle w:val="ListBullet"/>
      </w:pPr>
      <w:r>
        <w:t>Après la mise à jour, vider storage/app/private/ordres/ : un OM sans état ni amendement garde la même clé de cache et son ancien PDF afficherait le taux journalier transport compris. Les PDF se régénèrent à la demande.</w:t>
      </w:r>
    </w:p>
    <w:p>
      <w:pPr>
        <w:pStyle w:val="ListBullet"/>
      </w:pPr>
      <w:r>
        <w:t>Supprimer sur le serveur app/Http/Requests/StoreOrdreMissionRequest.php et UpdateOrdreMissionRequest.php : un envoi FTP n'efface pas les fichiers retirés du dépôt.</w:t>
      </w:r>
    </w:p>
    <w:p>
      <w:pPr>
        <w:pStyle w:val="ListBullet"/>
      </w:pPr>
      <w:r>
        <w:t>Si la file passe en QUEUE_CONNECTION=database : la tâche Cron queue:work doit nommer les trois files (--queue=paiements,etats,default), sinon les gros lots restent INTROUVABLE.</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 130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572 tests au total (68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120 tests / 27 fichiers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OpenApiTest (openapi.yaml ↔ routes ↔ permissions) et navigation.spec.ts (menu ↔ routes ↔ API cohérents).</w:t>
      </w:r>
    </w:p>
    <w:p>
      <w:pPr>
        <w:pStyle w:val="ListBullet"/>
      </w:pPr>
      <w:r>
        <w:t>Recette sur l'API réelle (23/10/2026, base SQLite neuve, QUEUE_CONNECTION=sync) : 83/83 contrôles conformes ; scénario de démonstration (docs/SCENARIO-DEMO.md) rejoué, conforme.</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