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1.2.0  •  Août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pPr>
      <w:r>
        <w:t>SEMO émet les ordres de mission (hors application).</w:t>
      </w:r>
    </w:p>
    <w:p>
      <w:pPr>
        <w:pStyle w:val="ListNumber"/>
      </w:pPr>
      <w:r>
        <w:t>Un gestionnaire retranscrit les OM dans l'application, regroupés par mission.</w:t>
      </w:r>
    </w:p>
    <w:p>
      <w:pPr>
        <w:pStyle w:val="ListNumber"/>
      </w:pPr>
      <w:r>
        <w:t>Le système calcule le per diem (catégorie × zone × type de prise en charge × nombre de jours).</w:t>
      </w:r>
    </w:p>
    <w:p>
      <w:pPr>
        <w:pStyle w:val="ListNumber"/>
      </w:pPr>
      <w:r>
        <w:t>Le gestionnaire établit le récapitulatif de l'ÉTAT DES AVANCES (brouillon).</w:t>
      </w:r>
    </w:p>
    <w:p>
      <w:pPr>
        <w:pStyle w:val="ListNumber"/>
      </w:pPr>
      <w:r>
        <w:t>Contrôleur → visa DAF → validation DG sur l'état des avances.</w:t>
      </w:r>
    </w:p>
    <w:p>
      <w:pPr>
        <w:pStyle w:val="ListNumber"/>
      </w:pPr>
      <w:r>
        <w:t>La validation du DG arrête l'état des avances, rend les OM VALIDE et ouvre les fichiers d'AVANCE.</w:t>
      </w:r>
    </w:p>
    <w:p>
      <w:pPr>
        <w:pStyle w:val="ListNumber"/>
      </w:pPr>
      <w:r>
        <w:t>L'agent financier génère et dépose les fichiers d'avance (.txt MTN / .xlsx Moov), puis les confirme.</w:t>
      </w:r>
    </w:p>
    <w:p>
      <w:pPr>
        <w:pStyle w:val="ListNumber"/>
      </w:pPr>
      <w:r>
        <w:t>Une fois l'état des avances validé, le gestionnaire établit l'ÉTAT DES RELIQUATS, qui suit le même circuit.</w:t>
      </w:r>
    </w:p>
    <w:p>
      <w:pPr>
        <w:pStyle w:val="ListNumbe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ook w:firstColumn="1" w:firstRow="1" w:lastColumn="0" w:lastRow="0" w:noHBand="0" w:noVBand="1" w:val="04A0"/>
      </w:tblPr>
      <w:tblGrid>
        <w:gridCol w:w="4320"/>
        <w:gridCol w:w="4320"/>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p>
      <w:pPr>
        <w:pStyle w:val="Heading1"/>
      </w:pPr>
      <w:r>
        <w:t>3. Premiers pas</w:t>
      </w:r>
    </w:p>
    <w:p>
      <w:pPr>
        <w:pStyle w:val="Heading2"/>
      </w:pPr>
      <w:r>
        <w:t>3.1 Connexion</w:t>
      </w:r>
    </w:p>
    <w:p>
      <w:pPr>
        <w:pStyle w:val="ListNumber"/>
      </w:pPr>
      <w:r>
        <w:t>Ouvrez l'application dans votre navigateur.</w:t>
      </w:r>
    </w:p>
    <w:p>
      <w:pPr>
        <w:pStyle w:val="ListNumber"/>
      </w:pPr>
      <w:r>
        <w:t>Saisissez votre adresse e-mail professionnelle et votre mot de passe.</w:t>
      </w:r>
    </w:p>
    <w:p>
      <w:pPr>
        <w:pStyle w:val="ListNumbe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pStyle w:val="Heading2"/>
      </w:pPr>
      <w:r>
        <w:t>3.2 Mot de passe oublié</w:t>
      </w:r>
    </w:p>
    <w:p>
      <w:pPr>
        <w:pStyle w:val="ListNumber"/>
      </w:pPr>
      <w:r>
        <w:t>Sur l'écran de connexion, cliquez sur « Mot de passe oublié ? ».</w:t>
      </w:r>
    </w:p>
    <w:p>
      <w:pPr>
        <w:pStyle w:val="ListNumber"/>
      </w:pPr>
      <w:r>
        <w:t>Saisissez votre e-mail. Un lien de réinitialisation vous est envoyé (si le compte existe).</w:t>
      </w:r>
    </w:p>
    <w:p>
      <w:pPr>
        <w:pStyle w:val="ListNumbe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pPr>
      <w:r>
        <w:t>Saisissez votre mot de passe actuel (temporaire).</w:t>
      </w:r>
    </w:p>
    <w:p>
      <w:pPr>
        <w:pStyle w:val="ListNumber"/>
      </w:pPr>
      <w:r>
        <w:t>Choisissez un nouveau mot de passe : au moins 12 caractères, avec majuscules, minuscules, chiffres et symboles.</w:t>
      </w:r>
    </w:p>
    <w:p>
      <w:pPr>
        <w:pStyle w:val="ListNumber"/>
      </w:pPr>
      <w:r>
        <w:t>Confirmez. Vous accédez ensuite normalement à l'application.</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pStyle w:val="ListBullet"/>
      </w:pPr>
      <w:r>
        <w:t>Recherche par nom, matricule ou IFU.</w:t>
      </w:r>
    </w:p>
    <w:p>
      <w:pPr>
        <w:pStyle w:val="ListBullet"/>
      </w:pPr>
      <w:r>
        <w:t>Filtres par catégorie (ORDRE_1/2/3),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pPr>
      <w:r>
        <w:t>Cliquez sur « Nouvel agent » (ou « Modifier » depuis une fiche).</w:t>
      </w:r>
    </w:p>
    <w:p>
      <w:pPr>
        <w:pStyle w:val="ListNumber"/>
      </w:pPr>
      <w:r>
        <w:t>Renseignez l'identité, le matricule, l'indice ou le salaire brut (la catégorie en est déduite).</w:t>
      </w:r>
    </w:p>
    <w:p>
      <w:pPr>
        <w:pStyle w:val="ListNumber"/>
      </w:pPr>
      <w:r>
        <w:t>Saisissez le téléphone (10 chiffres, commençant par 01) et l'opérateur cohérent avec le numéro.</w:t>
      </w:r>
    </w:p>
    <w:p>
      <w:pPr>
        <w:pStyle w:val="ListNumber"/>
      </w:pPr>
      <w:r>
        <w:t>Enregistrez. La catégorie ORDRE_1/2/3 est calculée automatiquement.</w:t>
      </w:r>
    </w:p>
    <w:p>
      <w:pPr>
        <w:pStyle w:val="Heading2"/>
      </w:pPr>
      <w:r>
        <w:t>5.3 Importer des agents (Excel / CSV)</w:t>
      </w:r>
    </w:p>
    <w:p>
      <w:pPr>
        <w:pStyle w:val="ListNumber"/>
      </w:pPr>
      <w:r>
        <w:t>Ouvrez « Import » dans le module Personnel.</w:t>
      </w:r>
    </w:p>
    <w:p>
      <w:pPr>
        <w:pStyle w:val="ListNumber"/>
      </w:pPr>
      <w:r>
        <w:t>Déposez votre fichier Excel/CSV et lancez la prévisualisation.</w:t>
      </w:r>
    </w:p>
    <w:p>
      <w:pPr>
        <w:pStyle w:val="ListNumber"/>
      </w:pPr>
      <w:r>
        <w:t>Consultez le rapport de contrôle : chaque ligne est vérifiée (unicité du matricule et du téléphone, cohérence numéro/opérateur).</w:t>
      </w:r>
    </w:p>
    <w:p>
      <w:pPr>
        <w:pStyle w:val="ListNumbe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Téléchargement du brouillon de l'OM et consultation de son journal d'audit.</w:t>
      </w:r>
    </w:p>
    <w:p>
      <w:r>
        <w:rPr>
          <w:b w:val="0"/>
          <w:i w:val="0"/>
        </w:rPr>
        <w:t>La validation des ordres de mission ne se fait pas un par un : elle se joue sur l'état de paiement de la mission (chapitre 7). Le présent chapitre s'arrête donc à la retranscription et à la consultation.</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tous les OM de la mission au statut VALIDE et ouvre les fichiers d'avance.</w:t>
      </w:r>
    </w:p>
    <w:p>
      <w:pPr>
        <w:pStyle w:val="ListBullet"/>
      </w:pPr>
      <w:r>
        <w:t>Validation de l'état des RELIQUATS : elle ouvre les fichiers de reliquat (les OM sont déjà VALIDE).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w:t>
      </w:r>
    </w:p>
    <w:p>
      <w:pPr>
        <w:pStyle w:val="ListBullet"/>
      </w:pPr>
      <w:r>
        <w:t>Avance = arrondi de (montant total × part de l'avance). La part est de 70 % par défaut et se règle dans les Paramètres (SUPER_ADMIN) ; elle s'applique aux OM retranscrits ensuite.</w:t>
      </w:r>
    </w:p>
    <w:p>
      <w:pPr>
        <w:pStyle w:val="ListBullet"/>
      </w:pPr>
      <w:r>
        <w:t>Reliquat = montant total − avance (30 % par défaut ; le reliquat absorbe l'arrondi).</w:t>
      </w:r>
    </w:p>
    <w:p>
      <w:pPr>
        <w:pStyle w:val="ListBullet"/>
      </w:pPr>
      <w:r>
        <w:t>Exonération (prise en charge par un tiers) : tous les montants sont à 0,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pPr>
      <w:r>
        <w:t>Ouvrez « Paiements MTN » ou « Paiements Moov ».</w:t>
      </w:r>
    </w:p>
    <w:p>
      <w:pPr>
        <w:pStyle w:val="ListNumber"/>
      </w:pPr>
      <w:r>
        <w:t>Sélectionnez la mission, la tranche (AVANCE ou RELIQUAT) et l'opérateur.</w:t>
      </w:r>
    </w:p>
    <w:p>
      <w:pPr>
        <w:pStyle w:val="ListNumber"/>
      </w:pPr>
      <w:r>
        <w:t>Cliquez sur « Prévisualiser » : la liste des bénéficiaires éligibles s'affiche.</w:t>
      </w:r>
    </w:p>
    <w:p>
      <w:pPr>
        <w:pStyle w:val="ListNumber"/>
      </w:pPr>
      <w:r>
        <w:t>Cliquez sur « Générer » : le fichier (.txt pour MTN, .xlsx pour Moov) est téléchargé. Le lot passe au statut GÉNÉRÉ.</w:t>
      </w:r>
    </w:p>
    <w:p>
      <w:r>
        <w:rPr>
          <w:b w:val="0"/>
          <w:i w:val="0"/>
        </w:rPr>
        <w:t>Pour un volume important, la génération se fait en arrière-plan ; un suivi vous informe lorsque le fichier est prêt.</w:t>
      </w:r>
    </w:p>
    <w:p>
      <w:pPr>
        <w:pStyle w:val="Heading2"/>
      </w:pPr>
      <w:r>
        <w:t>9.2 Déposer puis confirmer</w:t>
      </w:r>
    </w:p>
    <w:p>
      <w:pPr>
        <w:pStyle w:val="ListNumber"/>
      </w:pPr>
      <w:r>
        <w:t>Déposez le fichier généré sur la plateforme de l'opérateur (hors application).</w:t>
      </w:r>
    </w:p>
    <w:p>
      <w:pPr>
        <w:pStyle w:val="ListNumber"/>
      </w:pPr>
      <w:r>
        <w:t>Une fois le dépôt réussi, revenez dans l'application et cliquez sur « Confirmer » pour le lot.</w:t>
      </w:r>
    </w:p>
    <w:p>
      <w:pPr>
        <w:pStyle w:val="ListNumber"/>
      </w:pPr>
      <w:r>
        <w:t>Le lot et ses versements passent au statut CONFIRMÉ et sont horodatés. L'OM dont tous les versements sont confirmés passe au statut SOLDÉ.</w:t>
      </w:r>
    </w:p>
    <w:p>
      <w:pPr>
        <w:pStyle w:val="Heading2"/>
      </w:pPr>
      <w:r>
        <w:t>9.3 Régénérer ou signaler une erreur</w:t>
      </w:r>
    </w:p>
    <w:p>
      <w:pPr>
        <w:pStyle w:val="ListBullet"/>
      </w:pPr>
      <w:r>
        <w:t>Tant qu'un lot n'est pas confirmé, vous pouvez le régénérer.</w:t>
      </w:r>
    </w:p>
    <w:p>
      <w:pPr>
        <w:pStyle w:val="ListBullet"/>
      </w:pPr>
      <w:r>
        <w:t>En cas de problème de dépôt, marquez le lot « en erreur » : cela réautorise une nouvelle génération.</w:t>
      </w:r>
    </w:p>
    <w:p>
      <w:pPr>
        <w:pStyle w:val="ListBullet"/>
      </w:pPr>
      <w:r>
        <w:t>Seul un lot au statut GÉNÉRÉ peut être confirmé : un lot en erreur doit d'abord être régénéré (on ne confirme jamais un fichier invalidé), et un lot confirmé est définitif.</w:t>
      </w:r>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1"/>
      </w:pPr>
      <w:r>
        <w:t>10. Barème per diem</w:t>
      </w:r>
    </w:p>
    <w:p>
      <w:pPr>
        <w:pStyle w:val="ListBullet"/>
      </w:pPr>
      <w:r>
        <w:t>Consultation : accessible à tous les profils internes (« Barème — consulter »).</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w:t>
      </w:r>
    </w:p>
    <w:p>
      <w:pPr>
        <w:pStyle w:val="ListBullet"/>
      </w:pPr>
      <w:r>
        <w:t>Par agent, par opérateur, par zone, par imputation budgétaire.</w:t>
      </w:r>
    </w:p>
    <w:p>
      <w:pPr>
        <w:pStyle w:val="ListBullet"/>
      </w:pPr>
      <w:r>
        <w:t>Export Excel ou PDF (immédiat ou en arrière-plan pour les gros volumes).</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Rôles : matrice des permissions par profil (consultation).</w:t>
      </w:r>
    </w:p>
    <w:p>
      <w:pPr>
        <w:pStyle w:val="ListBullet"/>
      </w:pPr>
      <w:r>
        <w:t>Signatures : identités et paraphes scannés du contrôleur, du DAF et du Directeur Général, imprimés sur l'état de paiement (voir chapitre 7.4).</w:t>
      </w:r>
    </w:p>
    <w:p>
      <w:pPr>
        <w:pStyle w:val="ListBullet"/>
      </w:pPr>
      <w:r>
        <w:t>Paramètres : configuration générale de l'application, dont la part de l'avance (%) appliquée à la répartition avance / reliquat (70 % par défaut).</w:t>
      </w:r>
    </w:p>
    <w:p>
      <w:pPr>
        <w:pStyle w:val="ListBullet"/>
      </w:pPr>
      <w:r>
        <w:t>Configuration e-mail (SMTP) : le mot de passe est stocké chiffré et n'est jamais réaffiché en clair.</w:t>
      </w:r>
    </w:p>
    <w:p>
      <w:pPr>
        <w:pStyle w:val="ListBullet"/>
      </w:pPr>
      <w:r>
        <w:t>Sauvegardes : création et gestion des sauvegardes de la base de données.</w:t>
      </w:r>
    </w:p>
    <w:p>
      <w:r>
        <w:br w:type="page"/>
      </w:r>
    </w:p>
    <w:p>
      <w:pPr>
        <w:pStyle w:val="Heading1"/>
      </w:pPr>
      <w:r>
        <w:t>Annexe A — Statuts</w:t>
      </w:r>
    </w:p>
    <w:p>
      <w:pPr>
        <w:pStyle w:val="Heading2"/>
      </w:pPr>
      <w:r>
        <w:t>État de paiement (un par tranche : avances puis reliquats)</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Étapes intermédiaires du circuit par OM (validation directe, activée en option).</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w:t>
            </w:r>
          </w:p>
        </w:tc>
      </w:tr>
      <w:tr>
        <w:tc>
          <w:tcPr>
            <w:tcW w:type="dxa" w:w="2268"/>
          </w:tcPr>
          <w:p>
            <w:r/>
            <w:r>
              <w:rPr>
                <w:b w:val="0"/>
                <w:sz w:val="20"/>
              </w:rPr>
              <w:t>SOLDE</w:t>
            </w:r>
          </w:p>
        </w:tc>
        <w:tc>
          <w:tcPr>
            <w:tcW w:type="dxa" w:w="7257"/>
          </w:tcPr>
          <w:p>
            <w:r/>
            <w:r>
              <w:rPr>
                <w:b w:val="0"/>
                <w:sz w:val="20"/>
              </w:rPr>
              <w:t>Tous les versements de l'OM ont été confirmés (ou OM exonéré).</w:t>
            </w:r>
          </w:p>
        </w:tc>
      </w:tr>
    </w:tbl>
    <w:p/>
    <w:p>
      <w:pPr>
        <w:pStyle w:val="Heading2"/>
      </w:pPr>
      <w:r>
        <w:t>Versement</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bl>
    <w:p/>
    <w:p>
      <w:pPr>
        <w:pStyle w:val="Heading2"/>
      </w:pPr>
      <w:r>
        <w:t>Lot de paiement</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ORDRE_1</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ORDRE_2</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ORDRE_3</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ORDRE_1</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ORDRE_2</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ORDRE_3</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ORDRE_1</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ORDRE_2</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ORDRE_3</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ook w:firstColumn="1" w:firstRow="1" w:lastColumn="0" w:lastRow="0" w:noHBand="0" w:noVBand="1" w:val="04A0"/>
      </w:tblPr>
      <w:tblGrid>
        <w:gridCol w:w="4320"/>
        <w:gridCol w:w="4320"/>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