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1.1.0  •  Juillet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w:t>
      </w:r>
    </w:p>
    <w:p>
      <w:pPr>
        <w:pStyle w:val="ListNumber"/>
      </w:pPr>
      <w:r>
        <w:t>SEMO émet les ordres de mission (hors application).</w:t>
      </w:r>
    </w:p>
    <w:p>
      <w:pPr>
        <w:pStyle w:val="ListNumber"/>
      </w:pPr>
      <w:r>
        <w:t>Un gestionnaire retranscrit les OM dans l'application, regroupés par mission.</w:t>
      </w:r>
    </w:p>
    <w:p>
      <w:pPr>
        <w:pStyle w:val="ListNumber"/>
      </w:pPr>
      <w:r>
        <w:t>Le système calcule le per diem (catégorie × zone × type de prise en charge × nombre de jours).</w:t>
      </w:r>
    </w:p>
    <w:p>
      <w:pPr>
        <w:pStyle w:val="ListNumber"/>
      </w:pPr>
      <w:r>
        <w:t>Le gestionnaire établit le récapitulatif : un état de paiement (brouillon) est produit pour la mission.</w:t>
      </w:r>
    </w:p>
    <w:p>
      <w:pPr>
        <w:pStyle w:val="ListNumber"/>
      </w:pPr>
      <w:r>
        <w:t>Le contrôleur contrôle l'état ; le DAF y appose son visa ; le Directeur Général le valide en dernier.</w:t>
      </w:r>
    </w:p>
    <w:p>
      <w:pPr>
        <w:pStyle w:val="ListNumber"/>
      </w:pPr>
      <w:r>
        <w:t>La validation du DG arrête l'état et rend payables tous les ordres de mission de la mission.</w:t>
      </w:r>
    </w:p>
    <w:p>
      <w:pPr>
        <w:pStyle w:val="ListNumber"/>
      </w:pPr>
      <w:r>
        <w:t>Un agent financier génère les fichiers de paiement : d'abord l'AVANCE, puis le RELIQUAT (.txt MTN ou .xlsx Moov).</w:t>
      </w:r>
    </w:p>
    <w:p>
      <w:pPr>
        <w:pStyle w:val="ListNumber"/>
      </w:pPr>
      <w:r>
        <w:t>Chaque fichier est déposé manuellement sur la plateforme de l'opérateur, puis confirmé dans l'application.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de la mission : </w:t>
            </w:r>
            <w:r>
              <w:rPr>
                <w:sz w:val="20"/>
              </w:rPr>
              <w:t>La validation ne se fait pas ordre par ordre. Chaque mission possède UN état de paiement récapitulatif ; c'est lui qui passe le circuit contrôle → visa DAF → validation DG. Valider l'état valide d'un coup tous les OM de la mission. Les OM, eux, conservent le statut sous lequel ils ont été retranscrits depuis SEMO jusqu'à cette validation finale.</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mission (un seul par mission),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et RELIQUAT (30 %).</w:t>
      </w:r>
    </w:p>
    <w:p>
      <w:pPr>
        <w:pStyle w:val="ListBullet"/>
      </w:pPr>
      <w:r>
        <w:t>Versement : une tranche (AVANCE ou RELIQUAT) d'un OM, pour un opérateur donné.</w:t>
      </w:r>
    </w:p>
    <w:p>
      <w:pPr>
        <w:pStyle w:val="ListBullet"/>
      </w:pPr>
      <w:r>
        <w:t>Lot de paiement : 1 mission × 1 tranche × 1 opérateur = 1 fichier généré.</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Une même personne ne peut pas apposer à la fois le visa DAF et la validation finale du même état.</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p>
      <w:pPr>
        <w:pStyle w:val="Heading1"/>
      </w:pPr>
      <w:r>
        <w:t>3. Premiers pas</w:t>
      </w:r>
    </w:p>
    <w:p>
      <w:pPr>
        <w:pStyle w:val="Heading2"/>
      </w:pPr>
      <w:r>
        <w:t>3.1 Connexion</w:t>
      </w:r>
    </w:p>
    <w:p>
      <w:pPr>
        <w:pStyle w:val="ListNumber"/>
      </w:pPr>
      <w:r>
        <w:t>Ouvrez l'application dans votre navigateur.</w:t>
      </w:r>
    </w:p>
    <w:p>
      <w:pPr>
        <w:pStyle w:val="ListNumber"/>
      </w:pPr>
      <w:r>
        <w:t>Saisissez votre adresse e-mail professionnelle et votre mot de passe.</w:t>
      </w:r>
    </w:p>
    <w:p>
      <w:pPr>
        <w:pStyle w:val="ListNumbe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pPr>
      <w:r>
        <w:t>Sur l'écran de connexion, cliquez sur « Mot de passe oublié ? ».</w:t>
      </w:r>
    </w:p>
    <w:p>
      <w:pPr>
        <w:pStyle w:val="ListNumber"/>
      </w:pPr>
      <w:r>
        <w:t>Saisissez votre e-mail. Un lien de réinitialisation vous est envoyé (si le compte existe).</w:t>
      </w:r>
    </w:p>
    <w:p>
      <w:pPr>
        <w:pStyle w:val="ListNumbe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pPr>
      <w:r>
        <w:t>Saisissez votre mot de passe actuel (temporaire).</w:t>
      </w:r>
    </w:p>
    <w:p>
      <w:pPr>
        <w:pStyle w:val="ListNumber"/>
      </w:pPr>
      <w:r>
        <w:t>Choisissez un nouveau mot de passe : au moins 12 caractères, avec majuscules, minuscules, chiffres et symboles.</w:t>
      </w:r>
    </w:p>
    <w:p>
      <w:pPr>
        <w:pStyle w:val="ListNumber"/>
      </w:pPr>
      <w:r>
        <w:t>Confirmez. Vous accédez ensuite normalement à l'application.</w:t>
      </w:r>
    </w:p>
    <w:p>
      <w:pPr>
        <w:pStyle w:val="Heading1"/>
      </w:pPr>
      <w:r>
        <w:t>4. Tableau de bord</w:t>
      </w:r>
    </w:p>
    <w:p>
      <w:r>
        <w:rPr>
          <w:b w:val="0"/>
          <w:i w:val="0"/>
        </w:rPr>
        <w:t>À la connexion, le tableau de bord présente une vue d'ensemble : indicateurs clés (OM en cours, OM validés, paiements du mois),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(ORDRE_1/2/3),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pPr>
      <w:r>
        <w:t>Cliquez sur « Nouvel agent » (ou « Modifier » depuis une fiche).</w:t>
      </w:r>
    </w:p>
    <w:p>
      <w:pPr>
        <w:pStyle w:val="ListNumber"/>
      </w:pPr>
      <w:r>
        <w:t>Renseignez l'identité, le matricule, l'indice ou le salaire brut (la catégorie en est déduite).</w:t>
      </w:r>
    </w:p>
    <w:p>
      <w:pPr>
        <w:pStyle w:val="ListNumber"/>
      </w:pPr>
      <w:r>
        <w:t>Saisissez le téléphone (10 chiffres, commençant par 01) et l'opérateur cohérent avec le numéro.</w:t>
      </w:r>
    </w:p>
    <w:p>
      <w:pPr>
        <w:pStyle w:val="ListNumber"/>
      </w:pPr>
      <w:r>
        <w:t>Enregistrez. La catégorie ORDRE_1/2/3 est calculée automatiquement.</w:t>
      </w:r>
    </w:p>
    <w:p>
      <w:pPr>
        <w:pStyle w:val="Heading2"/>
      </w:pPr>
      <w:r>
        <w:t>5.3 Importer des agents (Excel / CSV)</w:t>
      </w:r>
    </w:p>
    <w:p>
      <w:pPr>
        <w:pStyle w:val="ListNumber"/>
      </w:pPr>
      <w:r>
        <w:t>Ouvrez « Import » dans le module Personnel.</w:t>
      </w:r>
    </w:p>
    <w:p>
      <w:pPr>
        <w:pStyle w:val="ListNumber"/>
      </w:pPr>
      <w:r>
        <w:t>Déposez votre fichier Excel/CSV et lancez la prévisualisation.</w:t>
      </w:r>
    </w:p>
    <w:p>
      <w:pPr>
        <w:pStyle w:val="ListNumber"/>
      </w:pPr>
      <w:r>
        <w:t>Consultez le rapport de contrôle : chaque ligne est vérifiée (unicité du matricule et du téléphone, cohérence numéro/opérateur).</w:t>
      </w:r>
    </w:p>
    <w:p>
      <w:pPr>
        <w:pStyle w:val="ListNumbe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Téléchargement du brouillon de l'OM et consultation de son journal d'audit.</w:t>
      </w:r>
    </w:p>
    <w:p>
      <w:r>
        <w:rPr>
          <w:b w:val="0"/>
          <w:i w:val="0"/>
        </w:rPr>
        <w:t>La validation des ordres de mission ne se fait pas un par un : elle se joue sur l'état de paiement de la mission (chapitre 7). Le présent chapitre s'arrête donc à la retranscription et à la consultation.</w:t>
      </w:r>
    </w:p>
    <w:p>
      <w:pPr>
        <w:pStyle w:val="Heading1"/>
      </w:pPr>
      <w:r>
        <w:t>7. État de paiement et circuit de validation</w:t>
      </w:r>
    </w:p>
    <w:p>
      <w:r>
        <w:rPr>
          <w:b w:val="0"/>
          <w:i w:val="0"/>
        </w:rPr>
        <w:t>Chaque mission possède un seul état de paiement : le document récapitulatif qui liste tous ses bénéficiaires, leurs montants (avance et reliquat) et le total général arrêté en toutes lettres. C'est cet état — et non les OM pris séparément — qui suit le circuit de validation.</w:t>
      </w:r>
    </w:p>
    <w:p>
      <w:pPr>
        <w:pStyle w:val="Heading2"/>
      </w:pPr>
      <w:r>
        <w:t>7.1 Établir le récapitulatif (brouillon)</w:t>
      </w:r>
    </w:p>
    <w:p>
      <w:r>
        <w:rPr>
          <w:b w:val="0"/>
          <w:i w:val="0"/>
        </w:rPr>
        <w:t>Acteur : GESTIONNAIRE_OM. Depuis la mission, cliquez sur « Établir le récapitulatif ».</w:t>
      </w:r>
    </w:p>
    <w:p>
      <w:pPr>
        <w:pStyle w:val="ListBullet"/>
      </w:pPr>
      <w:r>
        <w:t>L'application agrège les OM de la mission et produit l'état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Heading2"/>
      </w:pPr>
      <w:r>
        <w:t>7.2 Le circuit en trois étapes</w:t>
      </w:r>
    </w:p>
    <w:p>
      <w:r>
        <w:rPr>
          <w:b w:val="0"/>
          <w:i w:val="0"/>
        </w:rPr>
        <w:t>L'état passe successivement entre trois mains. Chacun retrouve les états qui l'attendent dans l'écran « États de paiement », ouvert d'emblée sur sa propre file.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La validation finale du DG arrête l'état et fait passer tous les OM de la mission au statut VALIDE : ils deviennent alors payables.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L'état de paiement définitif</w:t>
      </w:r>
    </w:p>
    <w:p>
      <w:r>
        <w:rPr>
          <w:b w:val="0"/>
          <w:i w:val="0"/>
        </w:rPr>
        <w:t>Une fois l'état VALIDÉ, son PDF définitif est téléchargeable : sans filigrane, avec les deux signatures (DAF puis Directeur Général) et le total général arrêté en toutes lettres. C'est le document officiel de la mission. Il est édité au format paysage.</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w:t>
      </w:r>
    </w:p>
    <w:p>
      <w:pPr>
        <w:pStyle w:val="ListBullet"/>
      </w:pPr>
      <w:r>
        <w:t>Avance = arrondi de (montant total × 70 %).</w:t>
      </w:r>
    </w:p>
    <w:p>
      <w:pPr>
        <w:pStyle w:val="ListBullet"/>
      </w:pPr>
      <w:r>
        <w:t>Reliquat = montant total − avance, soit 30 %.</w:t>
      </w:r>
    </w:p>
    <w:p>
      <w:pPr>
        <w:pStyle w:val="ListBullet"/>
      </w:pPr>
      <w:r>
        <w:t>Exonération (prise en charge par un tiers) : tous les montants sont à 0,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w:t>
            </w:r>
            <w:r>
              <w:rPr>
                <w:sz w:val="20"/>
              </w:rPr>
              <w:t>Les fichiers ne peuvent être générés qu'une fois l'état de paiement de la mission VALIDÉ par le Directeur Général (ses OM passent alors au statut VALIDE). Un versement déjà CONFIRMÉ n'est jamais réinclus dans un nouveau fichier (protection anti-double-paiement).</w:t>
            </w:r>
          </w:p>
        </w:tc>
      </w:tr>
    </w:tbl>
    <w:p/>
    <w:p>
      <w:pPr>
        <w:pStyle w:val="Heading2"/>
      </w:pPr>
      <w:r>
        <w:t>8.1 Générer un fichier de paiement (MTN ou Moov)</w:t>
      </w:r>
    </w:p>
    <w:p>
      <w:pPr>
        <w:pStyle w:val="ListNumber"/>
      </w:pPr>
      <w:r>
        <w:t>Ouvrez « Paiements MTN » ou « Paiements Moov ».</w:t>
      </w:r>
    </w:p>
    <w:p>
      <w:pPr>
        <w:pStyle w:val="ListNumber"/>
      </w:pPr>
      <w:r>
        <w:t>Sélectionnez la mission, la tranche (AVANCE ou RELIQUAT) et l'opérateur.</w:t>
      </w:r>
    </w:p>
    <w:p>
      <w:pPr>
        <w:pStyle w:val="ListNumber"/>
      </w:pPr>
      <w:r>
        <w:t>Cliquez sur « Prévisualiser » : la liste des bénéficiaires éligibles s'affiche.</w:t>
      </w:r>
    </w:p>
    <w:p>
      <w:pPr>
        <w:pStyle w:val="ListNumber"/>
      </w:pPr>
      <w:r>
        <w:t>Cliquez sur « Générer » : le fichier (.txt pour MTN, .xlsx pour Moov) est téléchargé. Le lot passe au statut GÉNÉRÉ.</w:t>
      </w:r>
    </w:p>
    <w:p>
      <w:r>
        <w:rPr>
          <w:b w:val="0"/>
          <w:i w:val="0"/>
        </w:rPr>
        <w:t>Pour un volume important, la génération se fait en arrière-plan ; un suivi vous informe lorsque le fichier est prêt.</w:t>
      </w:r>
    </w:p>
    <w:p>
      <w:pPr>
        <w:pStyle w:val="Heading2"/>
      </w:pPr>
      <w:r>
        <w:t>8.2 Déposer puis confirmer</w:t>
      </w:r>
    </w:p>
    <w:p>
      <w:pPr>
        <w:pStyle w:val="ListNumber"/>
      </w:pPr>
      <w:r>
        <w:t>Déposez le fichier généré sur la plateforme de l'opérateur (hors application).</w:t>
      </w:r>
    </w:p>
    <w:p>
      <w:pPr>
        <w:pStyle w:val="ListNumber"/>
      </w:pPr>
      <w:r>
        <w:t>Une fois le dépôt réussi, revenez dans l'application et cliquez sur « Confirmer » pour le lot.</w:t>
      </w:r>
    </w:p>
    <w:p>
      <w:pPr>
        <w:pStyle w:val="ListNumber"/>
      </w:pPr>
      <w:r>
        <w:t>Le lot et ses versements passent au statut CONFIRMÉ et sont horodatés. L'OM dont tous les versements sont confirmés passe au statut SOLDÉ.</w:t>
      </w:r>
    </w:p>
    <w:p>
      <w:pPr>
        <w:pStyle w:val="Heading2"/>
      </w:pPr>
      <w:r>
        <w:t>8.3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w:t>
      </w:r>
    </w:p>
    <w:p>
      <w:pPr>
        <w:pStyle w:val="ListBullet"/>
      </w:pPr>
      <w:r>
        <w:t>Un lot confirmé est définitif : il ne peut plus être régénéré.</w:t>
      </w:r>
    </w:p>
    <w:p>
      <w:pPr>
        <w:pStyle w:val="Heading2"/>
      </w:pPr>
      <w:r>
        <w:t>8.4 Suivi des paiements</w:t>
      </w:r>
    </w:p>
    <w:p>
      <w:pPr>
        <w:pStyle w:val="ListBullet"/>
      </w:pPr>
      <w:r>
        <w:t>« Statuts » : synthèse des versements par opérateur et par statut.</w:t>
      </w:r>
    </w:p>
    <w:p>
      <w:pPr>
        <w:pStyle w:val="ListBullet"/>
      </w:pPr>
      <w:r>
        <w:t>« Historique » : versements confirmés, filtrables par période.</w:t>
      </w:r>
    </w:p>
    <w:p>
      <w:pPr>
        <w:pStyle w:val="ListBullet"/>
      </w:pPr>
      <w:r>
        <w:t>« Réconciliation » : rappel du modèle manuel (aucun réimport de fichier opérateur).</w:t>
      </w:r>
    </w:p>
    <w:p>
      <w:pPr>
        <w:pStyle w:val="Heading1"/>
      </w:pPr>
      <w:r>
        <w:t>10. Barème per diem</w:t>
      </w:r>
    </w:p>
    <w:p>
      <w:pPr>
        <w:pStyle w:val="ListBullet"/>
      </w:pPr>
      <w:r>
        <w:t>Consultation : accessible à tous les profils internes (« Barème — consulter »).</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(retranscription, validation/rejet, génération et confirmation de paiement, gestion des comptes…). Accessible à l'ADMIN et au CONTROLEUR. Chaque entrée peut être consultée en détail.</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Rôles : matrice des permissions par profil (consultation).</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w:t>
      </w:r>
    </w:p>
    <w:p>
      <w:pPr>
        <w:pStyle w:val="ListBullet"/>
      </w:pPr>
      <w:r>
        <w:t>Configuration e-mail (SMTP) : le mot de passe est stocké chiffré et n'est jamais réaffiché en clair.</w:t>
      </w:r>
    </w:p>
    <w:p>
      <w:pPr>
        <w:pStyle w:val="ListBullet"/>
      </w:pPr>
      <w:r>
        <w:t>Sauvegardes : création et gestion des sauvegardes de la base de données.</w:t>
      </w:r>
    </w:p>
    <w:p>
      <w:r>
        <w:br w:type="page"/>
      </w:r>
    </w:p>
    <w:p>
      <w:pPr>
        <w:pStyle w:val="Heading1"/>
      </w:pPr>
      <w:r>
        <w:t>Annexe A — Statuts</w:t>
      </w:r>
    </w:p>
    <w:p>
      <w:pPr>
        <w:pStyle w:val="Heading2"/>
      </w:pPr>
      <w:r>
        <w:t>État de paiement (un par mission)</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les OM deviennent payables.</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pendant tout le circuit de l'état.</w:t>
            </w:r>
          </w:p>
        </w:tc>
      </w:tr>
      <w:tr>
        <w:tc>
          <w:tcPr>
            <w:tcW w:type="dxa" w:w="2268"/>
          </w:tcPr>
          <w:p>
            <w:r/>
            <w:r>
              <w:rPr>
                <w:b w:val="0"/>
                <w:sz w:val="20"/>
              </w:rPr>
              <w:t>VALIDE</w:t>
            </w:r>
          </w:p>
        </w:tc>
        <w:tc>
          <w:tcPr>
            <w:tcW w:type="dxa" w:w="7257"/>
          </w:tcPr>
          <w:p>
            <w:r/>
            <w:r>
              <w:rPr>
                <w:b w:val="0"/>
                <w:sz w:val="20"/>
              </w:rPr>
              <w:t>L'état de paiement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w:t>
            </w:r>
          </w:p>
        </w:tc>
      </w:tr>
      <w:tr>
        <w:tc>
          <w:tcPr>
            <w:tcW w:type="dxa" w:w="2268"/>
          </w:tcPr>
          <w:p>
            <w:r/>
            <w:r>
              <w:rPr>
                <w:b w:val="0"/>
                <w:sz w:val="20"/>
              </w:rPr>
              <w:t>SOLDE</w:t>
            </w:r>
          </w:p>
        </w:tc>
        <w:tc>
          <w:tcPr>
            <w:tcW w:type="dxa" w:w="7257"/>
          </w:tcPr>
          <w:p>
            <w:r/>
            <w:r>
              <w:rPr>
                <w:b w:val="0"/>
                <w:sz w:val="20"/>
              </w:rPr>
              <w:t>Tous les versements de l'OM ont été confirmés.</w:t>
            </w:r>
          </w:p>
        </w:tc>
      </w:tr>
    </w:tbl>
    <w:p/>
    <w:p>
      <w:pPr>
        <w:pStyle w:val="Heading2"/>
      </w:pPr>
      <w:r>
        <w:t>Versement</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bl>
    <w:p/>
    <w:p>
      <w:pPr>
        <w:pStyle w:val="Heading2"/>
      </w:pPr>
      <w:r>
        <w:t>Lot de paiement</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ORDRE_1</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ORDRE_2</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ORDRE_3</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ORDRE_1</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ORDRE_2</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ORDRE_3</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ORDRE_1</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ORDRE_2</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ORDRE_3</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Référez-vous à l'écran Barème pour les valeurs en vigueur.</w:t>
      </w:r>
    </w:p>
    <w:p>
      <w:r>
        <w:br w:type="page"/>
      </w:r>
    </w:p>
    <w:p>
      <w:pPr>
        <w:pStyle w:val="Heading1"/>
      </w:pPr>
      <w:r>
        <w:t>Annexe C — Glossaire</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30 %.</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