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(26-28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r>
        <w:tc>
          <w:tcPr>
            <w:tcW w:type="dxa" w:w="2041"/>
          </w:tcPr>
          <w:p>
            <w:r/>
            <w:r>
              <w:rPr>
                <w:b w:val="0"/>
                <w:sz w:val="19"/>
              </w:rPr>
              <w:t>E-mail en échec (28/10)</w:t>
            </w:r>
          </w:p>
        </w:tc>
        <w:tc>
          <w:tcPr>
            <w:tcW w:type="dxa" w:w="6009"/>
          </w:tcPr>
          <w:p>
            <w:r/>
            <w:r>
              <w:rPr>
                <w:b w:val="0"/>
                <w:sz w:val="19"/>
              </w:rPr>
              <w:t>Un e-mail de notification qui ne part pas (serveur SMTP injoignable) n'est plus relancé par SendNotification : en file sync, la signature ou la validation qui notifie répondait 500 alors que l'opération était enregistrée, et les destinataires suivants n'étaient pas notifiés. Pest 671.</w:t>
            </w:r>
          </w:p>
        </w:tc>
        <w:tc>
          <w:tcPr>
            <w:tcW w:type="dxa" w:w="1474"/>
          </w:tcPr>
          <w:p>
            <w:r/>
            <w:r>
              <w:rPr>
                <w:b w:val="0"/>
                <w:sz w:val="19"/>
              </w:rPr>
              <w:t>§4.2</w:t>
            </w:r>
          </w:p>
        </w:tc>
      </w:tr>
      <w:tr>
        <w:tc>
          <w:tcPr>
            <w:tcW w:type="dxa" w:w="2041"/>
          </w:tcPr>
          <w:p>
            <w:r/>
            <w:r>
              <w:rPr>
                <w:b w:val="0"/>
                <w:sz w:val="19"/>
              </w:rPr>
              <w:t>Messagerie, refus (28/10)</w:t>
            </w:r>
          </w:p>
        </w:tc>
        <w:tc>
          <w:tcPr>
            <w:tcW w:type="dxa" w:w="6009"/>
          </w:tcPr>
          <w:p>
            <w:r/>
            <w:r>
              <w:rPr>
                <w:b w:val="0"/>
                <w:sz w:val="19"/>
              </w:rPr>
              <w:t>L'écran Messagerie affiche le motif d'un refus 422 (champ errors : port invalide, message du serveur SMTP) et non plus le message générique « Donnees invalides. ». Scénario de démo complété (§8.6 messagerie, §8.7 maintenance), rejoué sur l'API réelle.</w:t>
            </w:r>
          </w:p>
        </w:tc>
        <w:tc>
          <w:tcPr>
            <w:tcW w:type="dxa" w:w="1474"/>
          </w:tcPr>
          <w:p>
            <w:r/>
            <w:r>
              <w:rPr>
                <w:b w:val="0"/>
                <w:sz w:val="19"/>
              </w:rPr>
              <w:t>§7.6, §10</w:t>
            </w:r>
          </w:p>
        </w:tc>
      </w:tr>
      <w:tr>
        <w:tc>
          <w:tcPr>
            <w:tcW w:type="dxa" w:w="2041"/>
          </w:tcPr>
          <w:p>
            <w:r/>
            <w:r>
              <w:rPr>
                <w:b w:val="0"/>
                <w:sz w:val="19"/>
              </w:rPr>
              <w:t>Refus expliqués (28/10)</w:t>
            </w:r>
          </w:p>
        </w:tc>
        <w:tc>
          <w:tcPr>
            <w:tcW w:type="dxa" w:w="6009"/>
          </w:tcPr>
          <w:p>
            <w:r/>
            <w:r>
              <w:rPr>
                <w:b w:val="0"/>
                <w:sz w:val="19"/>
              </w:rPr>
              <w:t>getErrorMessage et l'intercepteur Axios d'un 422 donnent le premier motif de errors, sur tous les écrans (séparation des tâches, numéro d'état, gardes de l'amendement…), au lieu de « Donnees invalides. » affiché deux fois ; useToast n'empile plus un message identique. refus-motif.spec.ts.</w:t>
            </w:r>
          </w:p>
        </w:tc>
        <w:tc>
          <w:tcPr>
            <w:tcW w:type="dxa" w:w="1474"/>
          </w:tcPr>
          <w:p>
            <w:r/>
            <w:r>
              <w:rPr>
                <w:b w:val="0"/>
                <w:sz w:val="19"/>
              </w:rPr>
              <w:t>§7.6</w:t>
            </w:r>
          </w:p>
        </w:tc>
      </w:tr>
      <w:tr>
        <w:tc>
          <w:tcPr>
            <w:tcW w:type="dxa" w:w="2041"/>
          </w:tcPr>
          <w:p>
            <w:r/>
            <w:r>
              <w:rPr>
                <w:b w:val="0"/>
                <w:sz w:val="19"/>
              </w:rPr>
              <w:t>Messages de validation (28/10)</w:t>
            </w:r>
          </w:p>
        </w:tc>
        <w:tc>
          <w:tcPr>
            <w:tcW w:type="dxa" w:w="6009"/>
          </w:tcPr>
          <w:p>
            <w:r/>
            <w:r>
              <w:rPr>
                <w:b w:val="0"/>
                <w:sz w:val="19"/>
              </w:rPr>
              <w:t>resources/lang/fr/validation.php : en production (APP_LOCALE=fr, APP_FALLBACK_LOCALE=fr), une règle générique renvoyait sa clé brute (« validation.unique »). Messages et noms de champs en français, déployés avec resources/. ValidationFrancaisTest (19 tests). Pest 690, Vitest 210 (211 le 29/10).</w:t>
            </w:r>
          </w:p>
        </w:tc>
        <w:tc>
          <w:tcPr>
            <w:tcW w:type="dxa" w:w="1474"/>
          </w:tcPr>
          <w:p>
            <w:r/>
            <w:r>
              <w:rPr>
                <w:b w:val="0"/>
                <w:sz w:val="19"/>
              </w:rPr>
              <w:t>§7.6, §9.6</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r>
        <w:rPr>
          <w:b w:val="0"/>
          <w:i w:val="0"/>
        </w:rPr>
        <w:t>Session restaurée au rechargement d'une page (stores/auth.ts → fetchUser, garde du routeur) : seul un 401 (jeton expiré ou révoqué) y met fin. Une erreur passagère de /auth/me (429, 5xx, réseau) garde le jeton et ouvre l'écran 500, dont « Réessayer » revient à la page demandée (chemin interne seulement) ; un 503 ouvre l'écran Maintenance. Avant le 28/10, toute erreur déconnectait et révoquait le jeton côté serveur.</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 ; déchiffré seulement au moment d'envoyer (App\Support\Messagerie). Une APP_KEY changée le rend indéchiffrable : il est alors à ressaisir.</w:t>
      </w:r>
    </w:p>
    <w:p>
      <w:pPr>
        <w:pStyle w:val="ListBullet"/>
      </w:pPr>
      <w:r>
        <w:t>Session : seul un 401 met fin à une session restaurée ; une erreur passagère ne révoque plus le jeton (§3.1).</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GET / PUT</w:t>
            </w:r>
          </w:p>
        </w:tc>
        <w:tc>
          <w:tcPr>
            <w:tcW w:type="dxa" w:w="4535"/>
          </w:tcPr>
          <w:p>
            <w:r/>
            <w:r>
              <w:rPr>
                <w:b w:val="0"/>
                <w:sz w:val="19"/>
              </w:rPr>
              <w:t>/api/admin/settings</w:t>
            </w:r>
          </w:p>
        </w:tc>
        <w:tc>
          <w:tcPr>
            <w:tcW w:type="dxa" w:w="3628"/>
          </w:tcPr>
          <w:p>
            <w:r/>
            <w:r>
              <w:rPr>
                <w:b w:val="0"/>
                <w:sz w:val="19"/>
              </w:rPr>
              <w:t>Paramètres système, liste blanche, valeurs validées (422 hors domaine) (parametres.gerer)</w:t>
            </w:r>
          </w:p>
        </w:tc>
      </w:tr>
      <w:tr>
        <w:tc>
          <w:tcPr>
            <w:tcW w:type="dxa" w:w="1361"/>
          </w:tcPr>
          <w:p>
            <w:r/>
            <w:r>
              <w:rPr>
                <w:b w:val="0"/>
                <w:sz w:val="19"/>
              </w:rPr>
              <w:t>POST</w:t>
            </w:r>
          </w:p>
        </w:tc>
        <w:tc>
          <w:tcPr>
            <w:tcW w:type="dxa" w:w="4535"/>
          </w:tcPr>
          <w:p>
            <w:r/>
            <w:r>
              <w:rPr>
                <w:b w:val="0"/>
                <w:sz w:val="19"/>
              </w:rPr>
              <w:t>/api/admin/settings/test-email</w:t>
            </w:r>
          </w:p>
        </w:tc>
        <w:tc>
          <w:tcPr>
            <w:tcW w:type="dxa" w:w="3628"/>
          </w:tcPr>
          <w:p>
            <w:r/>
            <w:r>
              <w:rPr>
                <w:b w:val="0"/>
                <w:sz w:val="19"/>
              </w:rPr>
              <w:t>E-mail de test au compte connecté avec la configuration enregistrée ; 422 (champ smtpHost) avec le message du serveur SMTP en cas d'échec (parametres.gerer)</w:t>
            </w:r>
          </w:p>
        </w:tc>
      </w:tr>
      <w:tr>
        <w:tc>
          <w:tcPr>
            <w:tcW w:type="dxa" w:w="1361"/>
          </w:tcPr>
          <w:p>
            <w:r/>
            <w:r>
              <w:rPr>
                <w:b w:val="0"/>
                <w:sz w:val="19"/>
              </w:rPr>
              <w:t>GET</w:t>
            </w:r>
          </w:p>
        </w:tc>
        <w:tc>
          <w:tcPr>
            <w:tcW w:type="dxa" w:w="4535"/>
          </w:tcPr>
          <w:p>
            <w:r/>
            <w:r>
              <w:rPr>
                <w:b w:val="0"/>
                <w:sz w:val="19"/>
              </w:rPr>
              <w:t>/api/admin/parametres/application</w:t>
            </w:r>
          </w:p>
        </w:tc>
        <w:tc>
          <w:tcPr>
            <w:tcW w:type="dxa" w:w="3628"/>
          </w:tcPr>
          <w:p>
            <w:r/>
            <w:r>
              <w:rPr>
                <w:b w:val="0"/>
                <w:sz w:val="19"/>
              </w:rPr>
              <w:t>Nom de l'application et opérateurs ouverts (lecture publique)</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 Corps : message générique « Donnees invalides. » + errors { champ: [motif] }, motifs en français (resources/lang/fr) — l'écran affiche le premier motif (getErrorMessage)</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r>
        <w:tc>
          <w:tcPr>
            <w:tcW w:type="dxa" w:w="1814"/>
          </w:tcPr>
          <w:p>
            <w:r/>
            <w:r>
              <w:rPr>
                <w:b w:val="0"/>
                <w:sz w:val="19"/>
              </w:rPr>
              <w:t>503</w:t>
            </w:r>
          </w:p>
        </w:tc>
        <w:tc>
          <w:tcPr>
            <w:tcW w:type="dxa" w:w="2948"/>
          </w:tcPr>
          <w:p>
            <w:r/>
            <w:r>
              <w:rPr>
                <w:b w:val="0"/>
                <w:sz w:val="19"/>
              </w:rPr>
              <w:t>Service indisponible</w:t>
            </w:r>
          </w:p>
        </w:tc>
        <w:tc>
          <w:tcPr>
            <w:tcW w:type="dxa" w:w="4762"/>
          </w:tcPr>
          <w:p>
            <w:r/>
            <w:r>
              <w:rPr>
                <w:b w:val="0"/>
                <w:sz w:val="19"/>
              </w:rPr>
              <w:t>artisan down (mise à jour) ou mode maintenance de Paramètres (sauf SUPER_ADMIN) ; le SPA ouvre l'écran Maintenance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ListBullet"/>
      </w:pPr>
      <w:r>
        <w:t>Correctifs des 27-29/10 (n° 33 à 47) : code seul, aucune migration de plus. Relire storage/app/settings.json avant l'envoi du code : les réglages de Paramètres et de Messagerie qu'il contient s'appliquent dès lors. Le nouveau fichier resources/lang/fr/validation.php part avec resources/, déjà envoyé à chaque mise à jour.</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690 tests au total (76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211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 Le 28/10, variantes messagerie et maintenance du scénario rejouées sur l'API réelle (MariaDB, base neuve) : elles ont révélé l'affichage du message générique des 422 à l'écran Messagerie, corrigé.</w:t>
      </w:r>
    </w:p>
    <w:p>
      <w:pPr>
        <w:pStyle w:val="ListBullet"/>
      </w:pPr>
      <w:r>
        <w:t>Défauts relevés par la revue d'octobre 2026 : 32, puis 15 de plus du 27 au 29/10 (n° 33 à 47, en confrontant la documentation au code et à l'interface), tous corrigés avec un test vu en échec sans le correctif (index : CHANGELOG.md ; détail : docs/revue-projet-2026-10.md §3 et §8).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