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
      <w:pPr>
        <w:jc w:val="center"/>
      </w:pPr>
      <w:r>
        <w:drawing>
          <wp:inline xmlns:a="http://schemas.openxmlformats.org/drawingml/2006/main" xmlns:pic="http://schemas.openxmlformats.org/drawingml/2006/picture">
            <wp:extent cx="2160000" cy="592541"/>
            <wp:docPr id="1" name="Picture 1"/>
            <wp:cNvGraphicFramePr>
              <a:graphicFrameLocks noChangeAspect="1"/>
            </wp:cNvGraphicFramePr>
            <a:graphic>
              <a:graphicData uri="http://schemas.openxmlformats.org/drawingml/2006/picture">
                <pic:pic>
                  <pic:nvPicPr>
                    <pic:cNvPr id="0" name="logoannat.png"/>
                    <pic:cNvPicPr/>
                  </pic:nvPicPr>
                  <pic:blipFill>
                    <a:blip r:embed="rId9"/>
                    <a:stretch>
                      <a:fillRect/>
                    </a:stretch>
                  </pic:blipFill>
                  <pic:spPr>
                    <a:xfrm>
                      <a:off x="0" y="0"/>
                      <a:ext cx="2160000" cy="592541"/>
                    </a:xfrm>
                    <a:prstGeom prst="rect"/>
                  </pic:spPr>
                </pic:pic>
              </a:graphicData>
            </a:graphic>
          </wp:inline>
        </w:drawing>
      </w:r>
    </w:p>
    <w:p/>
    <w:p>
      <w:pPr>
        <w:jc w:val="center"/>
      </w:pPr>
      <w:r>
        <w:rPr>
          <w:b/>
          <w:color w:val="1D9E4F"/>
          <w:sz w:val="56"/>
        </w:rPr>
        <w:t>Documentation Technique</w:t>
        <w:br/>
        <w:t>et Fonctionnelle</w:t>
      </w:r>
    </w:p>
    <w:p>
      <w:pPr>
        <w:jc w:val="center"/>
      </w:pPr>
      <w:r>
        <w:rPr>
          <w:color w:val="4B5563"/>
          <w:sz w:val="28"/>
        </w:rPr>
        <w:t>Système de Gestion des Ordres de Mission</w:t>
        <w:br/>
        <w:t>et des Paiements Per Diem (Mobile Money MTN &amp; Moov)</w:t>
      </w:r>
    </w:p>
    <w:p>
      <w:pPr>
        <w:jc w:val="center"/>
      </w:pPr>
      <w:r>
        <w:rPr>
          <w:color w:val="4B5563"/>
          <w:sz w:val="24"/>
        </w:rPr>
        <w:t>ANaTT — Agence Nationale des Transports Terrestres</w:t>
        <w:br/>
        <w:t>République du Bénin</w:t>
      </w:r>
    </w:p>
    <w:p/>
    <w:p/>
    <w:p/>
    <w:p/>
    <w:p/>
    <w:p>
      <w:pPr>
        <w:jc w:val="center"/>
      </w:pPr>
      <w:r>
        <w:rPr>
          <w:b/>
          <w:color w:val="B8891A"/>
        </w:rPr>
        <w:t>Version 1.4.0  •  Octobre 2026</w:t>
      </w:r>
    </w:p>
    <w:p>
      <w:pPr>
        <w:jc w:val="center"/>
      </w:pPr>
      <w:r>
        <w:rPr>
          <w:i/>
          <w:color w:val="4B5563"/>
          <w:sz w:val="20"/>
        </w:rPr>
        <w:t>Document interne — Usage restreint</w:t>
      </w:r>
    </w:p>
    <w:p>
      <w:r>
        <w:br w:type="page"/>
      </w:r>
    </w:p>
    <w:p>
      <w:pPr>
        <w:pStyle w:val="Heading1"/>
      </w:pPr>
      <w:r>
        <w:t>Sommaire</w:t>
      </w:r>
    </w:p>
    <w:p>
      <w:r>
        <w:fldChar w:fldCharType="begin"/>
        <w:instrText xml:space="preserve">TOC \o "1-3" \h \z \u</w:instrText>
        <w:fldChar w:fldCharType="separate"/>
        <w:t>Faites un clic droit ici puis « Mettre à jour les champs » pour générer le sommaire.</w:t>
        <w:fldChar w:fldCharType="end"/>
      </w:r>
    </w:p>
    <w:p>
      <w:r>
        <w:br w:type="page"/>
      </w:r>
    </w:p>
    <w:p>
      <w:pPr>
        <w:pStyle w:val="Heading1"/>
      </w:pPr>
      <w:r>
        <w:t>Évolutions de la version 1.4 (26-29 octobre 2026)</w:t>
      </w:r>
    </w:p>
    <w:p>
      <w:r>
        <w:rPr>
          <w:b w:val="0"/>
          <w:i w:val="0"/>
        </w:rPr>
        <w:t>Cette version applique les quatre décisions du §7.1 de la revue (docs/revue-projet-2026-10.md), corrige trois défauts d'interface et remplace les maquettes d'août 2026 par les écrans réels.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Notifications (D1)</w:t>
            </w:r>
          </w:p>
        </w:tc>
        <w:tc>
          <w:tcPr>
            <w:tcW w:type="dxa" w:w="6009"/>
          </w:tcPr>
          <w:p>
            <w:r/>
            <w:r>
              <w:rPr>
                <w:b w:val="0"/>
                <w:sz w:val="19"/>
              </w:rPr>
              <w:t>NotificationService::notifier vise les comptes actifs dont les permissions EFFECTIVES portent la clé de l'étape (om.valider / om.viser / om.approuver, paiements.generer, paiements.confirmer, om.retranscrire, utilisateurs.gerer) : rôles personnalisés et droits individuels compris, retraits respectés, SUPER_ADMIN exclu, une notification par compte.</w:t>
            </w:r>
          </w:p>
        </w:tc>
        <w:tc>
          <w:tcPr>
            <w:tcW w:type="dxa" w:w="1474"/>
          </w:tcPr>
          <w:p>
            <w:r/>
            <w:r>
              <w:rPr>
                <w:b w:val="0"/>
                <w:sz w:val="19"/>
              </w:rPr>
              <w:t>§4.2, §6.3</w:t>
            </w:r>
          </w:p>
        </w:tc>
      </w:tr>
      <w:tr>
        <w:tc>
          <w:tcPr>
            <w:tcW w:type="dxa" w:w="2041"/>
          </w:tcPr>
          <w:p>
            <w:r/>
            <w:r>
              <w:rPr>
                <w:b w:val="0"/>
                <w:sz w:val="19"/>
              </w:rPr>
              <w:t>Fuseau horaire (D2)</w:t>
            </w:r>
          </w:p>
        </w:tc>
        <w:tc>
          <w:tcPr>
            <w:tcW w:type="dxa" w:w="6009"/>
          </w:tcPr>
          <w:p>
            <w:r/>
            <w:r>
              <w:rPr>
                <w:b w:val="0"/>
                <w:sz w:val="19"/>
              </w:rPr>
              <w:t>config/app.php : APP_TIMEZONE, défaut Africa/Porto-Novo (UTC+1). Migration 2026_10_26_090000_passer_horodatages_au_fuseau_applicatif : +1 h sur toutes les colonnes DATETIME / TIMESTAMP (même instant, scellés inchangés), down() −1 h. L'API sérialise toujours en UTC.</w:t>
            </w:r>
          </w:p>
        </w:tc>
        <w:tc>
          <w:tcPr>
            <w:tcW w:type="dxa" w:w="1474"/>
          </w:tcPr>
          <w:p>
            <w:r/>
            <w:r>
              <w:rPr>
                <w:b w:val="0"/>
                <w:sz w:val="19"/>
              </w:rPr>
              <w:t>§2.2, §9.2, §9.6</w:t>
            </w:r>
          </w:p>
        </w:tc>
      </w:tr>
      <w:tr>
        <w:tc>
          <w:tcPr>
            <w:tcW w:type="dxa" w:w="2041"/>
          </w:tcPr>
          <w:p>
            <w:r/>
            <w:r>
              <w:rPr>
                <w:b w:val="0"/>
                <w:sz w:val="19"/>
              </w:rPr>
              <w:t>Dépendances (D3)</w:t>
            </w:r>
          </w:p>
        </w:tc>
        <w:tc>
          <w:tcPr>
            <w:tcW w:type="dxa" w:w="6009"/>
          </w:tcPr>
          <w:p>
            <w:r/>
            <w:r>
              <w:rPr>
                <w:b w:val="0"/>
                <w:sz w:val="19"/>
              </w:rPr>
              <w:t>vue-pdf-embed, lucide-vue-next et @vueuse/core retirés (inutilisés) ; Vue passée le 29/10 de 3.6.0-beta.9 à 3.5.44 stable, épinglée.</w:t>
            </w:r>
          </w:p>
        </w:tc>
        <w:tc>
          <w:tcPr>
            <w:tcW w:type="dxa" w:w="1474"/>
          </w:tcPr>
          <w:p>
            <w:r/>
            <w:r>
              <w:rPr>
                <w:b w:val="0"/>
                <w:sz w:val="19"/>
              </w:rPr>
              <w:t>§2.2</w:t>
            </w:r>
          </w:p>
        </w:tc>
      </w:tr>
      <w:tr>
        <w:tc>
          <w:tcPr>
            <w:tcW w:type="dxa" w:w="2041"/>
          </w:tcPr>
          <w:p>
            <w:r/>
            <w:r>
              <w:rPr>
                <w:b w:val="0"/>
                <w:sz w:val="19"/>
              </w:rPr>
              <w:t>Écran de génération (D4)</w:t>
            </w:r>
          </w:p>
        </w:tc>
        <w:tc>
          <w:tcPr>
            <w:tcW w:type="dxa" w:w="6009"/>
          </w:tcPr>
          <w:p>
            <w:r/>
            <w:r>
              <w:rPr>
                <w:b w:val="0"/>
                <w:sz w:val="19"/>
              </w:rPr>
              <w:t>PaiementGeneration.vue recharge le lot après l'échec d'une génération.</w:t>
            </w:r>
          </w:p>
        </w:tc>
        <w:tc>
          <w:tcPr>
            <w:tcW w:type="dxa" w:w="1474"/>
          </w:tcPr>
          <w:p>
            <w:r/>
            <w:r>
              <w:rPr>
                <w:b w:val="0"/>
                <w:sz w:val="19"/>
              </w:rPr>
              <w:t>§4.3</w:t>
            </w:r>
          </w:p>
        </w:tc>
      </w:tr>
      <w:tr>
        <w:tc>
          <w:tcPr>
            <w:tcW w:type="dxa" w:w="2041"/>
          </w:tcPr>
          <w:p>
            <w:r/>
            <w:r>
              <w:rPr>
                <w:b w:val="0"/>
                <w:sz w:val="19"/>
              </w:rPr>
              <w:t>Interface</w:t>
            </w:r>
          </w:p>
        </w:tc>
        <w:tc>
          <w:tcPr>
            <w:tcW w:type="dxa" w:w="6009"/>
          </w:tcPr>
          <w:p>
            <w:r/>
            <w:r>
              <w:rPr>
                <w:b w:val="0"/>
                <w:sz w:val="19"/>
              </w:rPr>
              <w:t>AppAlert : contenu du slot en un seul bloc (bandeau de l'écran Signatures). Fiche et aperçu d'un OM : libellés de la répartition alignés sur le PDF (utils/repartition.ts, miroir de PdfGenerator::libellesRepartition). Configuration e-mail : les 7 notifications de NotificationContenu.</w:t>
            </w:r>
          </w:p>
        </w:tc>
        <w:tc>
          <w:tcPr>
            <w:tcW w:type="dxa" w:w="1474"/>
          </w:tcPr>
          <w:p>
            <w:r/>
            <w:r>
              <w:rPr>
                <w:b w:val="0"/>
                <w:sz w:val="19"/>
              </w:rPr>
              <w:t>§3.4, §4.4</w:t>
            </w:r>
          </w:p>
        </w:tc>
      </w:tr>
      <w:tr>
        <w:tc>
          <w:tcPr>
            <w:tcW w:type="dxa" w:w="2041"/>
          </w:tcPr>
          <w:p>
            <w:r/>
            <w:r>
              <w:rPr>
                <w:b w:val="0"/>
                <w:sz w:val="19"/>
              </w:rPr>
              <w:t>Maquettes</w:t>
            </w:r>
          </w:p>
        </w:tc>
        <w:tc>
          <w:tcPr>
            <w:tcW w:type="dxa" w:w="6009"/>
          </w:tcPr>
          <w:p>
            <w:r/>
            <w:r>
              <w:rPr>
                <w:b w:val="0"/>
                <w:sz w:val="19"/>
              </w:rPr>
              <w:t>Galerie et pages d'écran tirées des captures de l'application réelle (docs/capturer_ecrans.cjs, docs/generer_maquettes.py) ; remplacent les maquettes d'août 2026.</w:t>
            </w:r>
          </w:p>
        </w:tc>
        <w:tc>
          <w:tcPr>
            <w:tcW w:type="dxa" w:w="1474"/>
          </w:tcPr>
          <w:p>
            <w:r/>
            <w:r>
              <w:rPr>
                <w:b w:val="0"/>
                <w:sz w:val="19"/>
              </w:rPr>
              <w:t>§2.3</w:t>
            </w:r>
          </w:p>
        </w:tc>
      </w:tr>
      <w:tr>
        <w:tc>
          <w:tcPr>
            <w:tcW w:type="dxa" w:w="2041"/>
          </w:tcPr>
          <w:p>
            <w:r/>
            <w:r>
              <w:rPr>
                <w:b w:val="0"/>
                <w:sz w:val="19"/>
              </w:rPr>
              <w:t>Tests</w:t>
            </w:r>
          </w:p>
        </w:tc>
        <w:tc>
          <w:tcPr>
            <w:tcW w:type="dxa" w:w="6009"/>
          </w:tcPr>
          <w:p>
            <w:r/>
            <w:r>
              <w:rPr>
                <w:b w:val="0"/>
                <w:sz w:val="19"/>
              </w:rPr>
              <w:t>FuseauHoraireTest, NotificationModelesEcranTest (écran e-mail ↔ NotificationContenu), tests des destinataires, écran Maintenance sur 503 ; Pest 599, Vitest 135.</w:t>
            </w:r>
          </w:p>
        </w:tc>
        <w:tc>
          <w:tcPr>
            <w:tcW w:type="dxa" w:w="1474"/>
          </w:tcPr>
          <w:p>
            <w:r/>
            <w:r>
              <w:rPr>
                <w:b w:val="0"/>
                <w:sz w:val="19"/>
              </w:rPr>
              <w:t>§10</w:t>
            </w:r>
          </w:p>
        </w:tc>
      </w:tr>
      <w:tr>
        <w:tc>
          <w:tcPr>
            <w:tcW w:type="dxa" w:w="2041"/>
          </w:tcPr>
          <w:p>
            <w:r/>
            <w:r>
              <w:rPr>
                <w:b w:val="0"/>
                <w:sz w:val="19"/>
              </w:rPr>
              <w:t>Part de la mission (27/10)</w:t>
            </w:r>
          </w:p>
        </w:tc>
        <w:tc>
          <w:tcPr>
            <w:tcW w:type="dxa" w:w="6009"/>
          </w:tcPr>
          <w:p>
            <w:r/>
            <w:r>
              <w:rPr>
                <w:b w:val="0"/>
                <w:sz w:val="19"/>
              </w:rPr>
              <w:t>Mission::partAvanceReelle (Σ avances / Σ montants des OM, hors rejetés, annulés et amendés à avance engagée), exposée en part_avance (état, récapitulatif, aperçu d'un lot) : l'écran de l'état et le choix de la tranche affichent la part des OM, pas le réglage du jour. Chaîne des montants vérifiée à 55 %.</w:t>
            </w:r>
          </w:p>
        </w:tc>
        <w:tc>
          <w:tcPr>
            <w:tcW w:type="dxa" w:w="1474"/>
          </w:tcPr>
          <w:p>
            <w:r/>
            <w:r>
              <w:rPr>
                <w:b w:val="0"/>
                <w:sz w:val="19"/>
              </w:rPr>
              <w:t>§5</w:t>
            </w:r>
          </w:p>
        </w:tc>
      </w:tr>
      <w:tr>
        <w:tc>
          <w:tcPr>
            <w:tcW w:type="dxa" w:w="2041"/>
          </w:tcPr>
          <w:p>
            <w:r/>
            <w:r>
              <w:rPr>
                <w:b w:val="0"/>
                <w:sz w:val="19"/>
              </w:rPr>
              <w:t>Réglages de Paramètres (28/10)</w:t>
            </w:r>
          </w:p>
        </w:tc>
        <w:tc>
          <w:tcPr>
            <w:tcW w:type="dxa" w:w="6009"/>
          </w:tcPr>
          <w:p>
            <w:r/>
            <w:r>
              <w:rPr>
                <w:b w:val="0"/>
                <w:sz w:val="19"/>
              </w:rPr>
              <w:t>Appliqués par le serveur (App\Support\Parametres, cache 60 s, absents = comportement d'avant, 422 hors domaine) : opérateurs MTN / Moov (génération refusée), tentatives de connexion (limiteur login), durée de session (callback Sanctum, remplace SANCTUM_EXPIRATION), HTTPS forcé (middleware ForcerHttps), connexions échouées journalisées (LOGIN_ECHEC), mode maintenance (middleware MaintenanceApplication : 503 sauf SUPER_ADMIN), notifications par type, nom de l'application (route publique GET /admin/parametres/application, titre de l'onglet, objet des e-mails).</w:t>
            </w:r>
          </w:p>
        </w:tc>
        <w:tc>
          <w:tcPr>
            <w:tcW w:type="dxa" w:w="1474"/>
          </w:tcPr>
          <w:p>
            <w:r/>
            <w:r>
              <w:rPr>
                <w:b w:val="0"/>
                <w:sz w:val="19"/>
              </w:rPr>
              <w:t>§6, §7</w:t>
            </w:r>
          </w:p>
        </w:tc>
      </w:tr>
      <w:tr>
        <w:tc>
          <w:tcPr>
            <w:tcW w:type="dxa" w:w="2041"/>
          </w:tcPr>
          <w:p>
            <w:r/>
            <w:r>
              <w:rPr>
                <w:b w:val="0"/>
                <w:sz w:val="19"/>
              </w:rPr>
              <w:t>Contrat d'API (28/10)</w:t>
            </w:r>
          </w:p>
        </w:tc>
        <w:tc>
          <w:tcPr>
            <w:tcW w:type="dxa" w:w="6009"/>
          </w:tcPr>
          <w:p>
            <w:r/>
            <w:r>
              <w:rPr>
                <w:b w:val="0"/>
                <w:sz w:val="19"/>
              </w:rPr>
              <w:t>OpenApiReponsesTest : réponses réelles d'une trentaine de routes validées contre openapi.yaml en mode strict (validateur tests/Support/OpenApiSchema.php, sans dépendance) ; openapi.yaml complété (pagination, régularisations, LignePerDiem, Signataire, enveloppe message).</w:t>
            </w:r>
          </w:p>
        </w:tc>
        <w:tc>
          <w:tcPr>
            <w:tcW w:type="dxa" w:w="1474"/>
          </w:tcPr>
          <w:p>
            <w:r/>
            <w:r>
              <w:rPr>
                <w:b w:val="0"/>
                <w:sz w:val="19"/>
              </w:rPr>
              <w:t>§7, §10</w:t>
            </w:r>
          </w:p>
        </w:tc>
      </w:tr>
      <w:tr>
        <w:tc>
          <w:tcPr>
            <w:tcW w:type="dxa" w:w="2041"/>
          </w:tcPr>
          <w:p>
            <w:r/>
            <w:r>
              <w:rPr>
                <w:b w:val="0"/>
                <w:sz w:val="19"/>
              </w:rPr>
              <w:t>Tests (28/10)</w:t>
            </w:r>
          </w:p>
        </w:tc>
        <w:tc>
          <w:tcPr>
            <w:tcW w:type="dxa" w:w="6009"/>
          </w:tcPr>
          <w:p>
            <w:r/>
            <w:r>
              <w:rPr>
                <w:b w:val="0"/>
                <w:sz w:val="19"/>
              </w:rPr>
              <w:t>45 tests des écrans critiques (saisie de mission, état, signatures, matrice des permissions) ; agent en double signalé dès la saisie ; message français sur un 429. Pest 652, Vitest 194.</w:t>
            </w:r>
          </w:p>
        </w:tc>
        <w:tc>
          <w:tcPr>
            <w:tcW w:type="dxa" w:w="1474"/>
          </w:tcPr>
          <w:p>
            <w:r/>
            <w:r>
              <w:rPr>
                <w:b w:val="0"/>
                <w:sz w:val="19"/>
              </w:rPr>
              <w:t>§10</w:t>
            </w:r>
          </w:p>
        </w:tc>
      </w:tr>
      <w:tr>
        <w:tc>
          <w:tcPr>
            <w:tcW w:type="dxa" w:w="2041"/>
          </w:tcPr>
          <w:p>
            <w:r/>
            <w:r>
              <w:rPr>
                <w:b w:val="0"/>
                <w:sz w:val="19"/>
              </w:rPr>
              <w:t>Messagerie (28/10)</w:t>
            </w:r>
          </w:p>
        </w:tc>
        <w:tc>
          <w:tcPr>
            <w:tcW w:type="dxa" w:w="6009"/>
          </w:tcPr>
          <w:p>
            <w:r/>
            <w:r>
              <w:rPr>
                <w:b w:val="0"/>
                <w:sz w:val="19"/>
              </w:rPr>
              <w:t>Configuration SMTP de l'écran Messagerie appliquée à l'envoi (App\Support\Messagerie) : serveur renseigné → remplace le transport du .env, expéditeur renseigné → remplace MAIL_FROM_* ; e-mail de test POST /admin/settings/test-email (422 si l'envoi échoue). Pest 670, Vitest 197.</w:t>
            </w:r>
          </w:p>
        </w:tc>
        <w:tc>
          <w:tcPr>
            <w:tcW w:type="dxa" w:w="1474"/>
          </w:tcPr>
          <w:p>
            <w:r/>
            <w:r>
              <w:rPr>
                <w:b w:val="0"/>
                <w:sz w:val="19"/>
              </w:rPr>
              <w:t>§6, §7</w:t>
            </w:r>
          </w:p>
        </w:tc>
      </w:tr>
      <w:tr>
        <w:tc>
          <w:tcPr>
            <w:tcW w:type="dxa" w:w="2041"/>
          </w:tcPr>
          <w:p>
            <w:r/>
            <w:r>
              <w:rPr>
                <w:b w:val="0"/>
                <w:sz w:val="19"/>
              </w:rPr>
              <w:t>Session (28/10)</w:t>
            </w:r>
          </w:p>
        </w:tc>
        <w:tc>
          <w:tcPr>
            <w:tcW w:type="dxa" w:w="6009"/>
          </w:tcPr>
          <w:p>
            <w:r/>
            <w:r>
              <w:rPr>
                <w:b w:val="0"/>
                <w:sz w:val="19"/>
              </w:rPr>
              <w:t>Une erreur passagère de l'API au rechargement (429, 5xx, réseau) ne déconnecte plus : le jeton est gardé et l'écran d'erreur revient à la page demandée ; seul un 401 met fin à la session. Vitest 205.</w:t>
            </w:r>
          </w:p>
        </w:tc>
        <w:tc>
          <w:tcPr>
            <w:tcW w:type="dxa" w:w="1474"/>
          </w:tcPr>
          <w:p>
            <w:r/>
            <w:r>
              <w:rPr>
                <w:b w:val="0"/>
                <w:sz w:val="19"/>
              </w:rPr>
              <w:t>§6</w:t>
            </w:r>
          </w:p>
        </w:tc>
      </w:tr>
      <w:tr>
        <w:tc>
          <w:tcPr>
            <w:tcW w:type="dxa" w:w="2041"/>
          </w:tcPr>
          <w:p>
            <w:r/>
            <w:r>
              <w:rPr>
                <w:b w:val="0"/>
                <w:sz w:val="19"/>
              </w:rPr>
              <w:t>E-mail en échec (28/10)</w:t>
            </w:r>
          </w:p>
        </w:tc>
        <w:tc>
          <w:tcPr>
            <w:tcW w:type="dxa" w:w="6009"/>
          </w:tcPr>
          <w:p>
            <w:r/>
            <w:r>
              <w:rPr>
                <w:b w:val="0"/>
                <w:sz w:val="19"/>
              </w:rPr>
              <w:t>Un e-mail de notification qui ne part pas (serveur SMTP injoignable) n'est plus relancé par SendNotification : en file sync, la signature ou la validation qui notifie répondait 500 alors que l'opération était enregistrée, et les destinataires suivants n'étaient pas notifiés. Pest 671.</w:t>
            </w:r>
          </w:p>
        </w:tc>
        <w:tc>
          <w:tcPr>
            <w:tcW w:type="dxa" w:w="1474"/>
          </w:tcPr>
          <w:p>
            <w:r/>
            <w:r>
              <w:rPr>
                <w:b w:val="0"/>
                <w:sz w:val="19"/>
              </w:rPr>
              <w:t>§4.2</w:t>
            </w:r>
          </w:p>
        </w:tc>
      </w:tr>
      <w:tr>
        <w:tc>
          <w:tcPr>
            <w:tcW w:type="dxa" w:w="2041"/>
          </w:tcPr>
          <w:p>
            <w:r/>
            <w:r>
              <w:rPr>
                <w:b w:val="0"/>
                <w:sz w:val="19"/>
              </w:rPr>
              <w:t>Messagerie, refus (28/10)</w:t>
            </w:r>
          </w:p>
        </w:tc>
        <w:tc>
          <w:tcPr>
            <w:tcW w:type="dxa" w:w="6009"/>
          </w:tcPr>
          <w:p>
            <w:r/>
            <w:r>
              <w:rPr>
                <w:b w:val="0"/>
                <w:sz w:val="19"/>
              </w:rPr>
              <w:t>L'écran Messagerie affiche le motif d'un refus 422 (champ errors : port invalide, message du serveur SMTP) et non plus le message générique « Donnees invalides. ». Scénario de démo complété (§8.6 messagerie, §8.7 maintenance), rejoué sur l'API réelle.</w:t>
            </w:r>
          </w:p>
        </w:tc>
        <w:tc>
          <w:tcPr>
            <w:tcW w:type="dxa" w:w="1474"/>
          </w:tcPr>
          <w:p>
            <w:r/>
            <w:r>
              <w:rPr>
                <w:b w:val="0"/>
                <w:sz w:val="19"/>
              </w:rPr>
              <w:t>§7.6, §10</w:t>
            </w:r>
          </w:p>
        </w:tc>
      </w:tr>
      <w:tr>
        <w:tc>
          <w:tcPr>
            <w:tcW w:type="dxa" w:w="2041"/>
          </w:tcPr>
          <w:p>
            <w:r/>
            <w:r>
              <w:rPr>
                <w:b w:val="0"/>
                <w:sz w:val="19"/>
              </w:rPr>
              <w:t>Refus expliqués (28/10)</w:t>
            </w:r>
          </w:p>
        </w:tc>
        <w:tc>
          <w:tcPr>
            <w:tcW w:type="dxa" w:w="6009"/>
          </w:tcPr>
          <w:p>
            <w:r/>
            <w:r>
              <w:rPr>
                <w:b w:val="0"/>
                <w:sz w:val="19"/>
              </w:rPr>
              <w:t>getErrorMessage et l'intercepteur Axios d'un 422 donnent le premier motif de errors, sur tous les écrans (séparation des tâches, numéro d'état, gardes de l'amendement…), au lieu de « Donnees invalides. » affiché deux fois ; useToast n'empile plus un message identique. refus-motif.spec.ts.</w:t>
            </w:r>
          </w:p>
        </w:tc>
        <w:tc>
          <w:tcPr>
            <w:tcW w:type="dxa" w:w="1474"/>
          </w:tcPr>
          <w:p>
            <w:r/>
            <w:r>
              <w:rPr>
                <w:b w:val="0"/>
                <w:sz w:val="19"/>
              </w:rPr>
              <w:t>§7.6</w:t>
            </w:r>
          </w:p>
        </w:tc>
      </w:tr>
      <w:tr>
        <w:tc>
          <w:tcPr>
            <w:tcW w:type="dxa" w:w="2041"/>
          </w:tcPr>
          <w:p>
            <w:r/>
            <w:r>
              <w:rPr>
                <w:b w:val="0"/>
                <w:sz w:val="19"/>
              </w:rPr>
              <w:t>Messages de validation (28/10)</w:t>
            </w:r>
          </w:p>
        </w:tc>
        <w:tc>
          <w:tcPr>
            <w:tcW w:type="dxa" w:w="6009"/>
          </w:tcPr>
          <w:p>
            <w:r/>
            <w:r>
              <w:rPr>
                <w:b w:val="0"/>
                <w:sz w:val="19"/>
              </w:rPr>
              <w:t>resources/lang/fr/validation.php : en production (APP_LOCALE=fr, APP_FALLBACK_LOCALE=fr), une règle générique renvoyait sa clé brute (« validation.unique »). Messages et noms de champs en français, déployés avec resources/. ValidationFrancaisTest (19 tests). Pest 690, Vitest 210 (691 / 215 le 29/10).</w:t>
            </w:r>
          </w:p>
        </w:tc>
        <w:tc>
          <w:tcPr>
            <w:tcW w:type="dxa" w:w="1474"/>
          </w:tcPr>
          <w:p>
            <w:r/>
            <w:r>
              <w:rPr>
                <w:b w:val="0"/>
                <w:sz w:val="19"/>
              </w:rPr>
              <w:t>§7.6, §9.6</w:t>
            </w:r>
          </w:p>
        </w:tc>
      </w:tr>
      <w:tr>
        <w:tc>
          <w:tcPr>
            <w:tcW w:type="dxa" w:w="2041"/>
          </w:tcPr>
          <w:p>
            <w:r/>
            <w:r>
              <w:rPr>
                <w:b w:val="0"/>
                <w:sz w:val="19"/>
              </w:rPr>
              <w:t>Textes accentués (29/10)</w:t>
            </w:r>
          </w:p>
        </w:tc>
        <w:tc>
          <w:tcPr>
            <w:tcW w:type="dxa" w:w="6009"/>
          </w:tcPr>
          <w:p>
            <w:r/>
            <w:r>
              <w:rPr>
                <w:b w:val="0"/>
                <w:sz w:val="19"/>
              </w:rPr>
              <w:t>Douze écrans (pages 403, 404, 500, maintenance, connexion, mot de passe, utilisateurs, sauvegardes…) et six messages de l'API (« Agent créé avec succès. »…) rédigés sans accents (n° 48). Sur la page 404, une même icône tronquée pour les trois raccourcis et « Dashboard » en anglais (n° 49). pages-systeme.spec.ts.</w:t>
            </w:r>
          </w:p>
        </w:tc>
        <w:tc>
          <w:tcPr>
            <w:tcW w:type="dxa" w:w="1474"/>
          </w:tcPr>
          <w:p>
            <w:r/>
            <w:r>
              <w:rPr>
                <w:b w:val="0"/>
                <w:sz w:val="19"/>
              </w:rPr>
              <w:t>§3, §10</w:t>
            </w:r>
          </w:p>
        </w:tc>
      </w:tr>
      <w:tr>
        <w:tc>
          <w:tcPr>
            <w:tcW w:type="dxa" w:w="2041"/>
          </w:tcPr>
          <w:p>
            <w:r/>
            <w:r>
              <w:rPr>
                <w:b w:val="0"/>
                <w:sz w:val="19"/>
              </w:rPr>
              <w:t>Galerie et scénario (29/10)</w:t>
            </w:r>
          </w:p>
        </w:tc>
        <w:tc>
          <w:tcPr>
            <w:tcW w:type="dxa" w:w="6009"/>
          </w:tcPr>
          <w:p>
            <w:r/>
            <w:r>
              <w:rPr>
                <w:b w:val="0"/>
                <w:sz w:val="19"/>
              </w:rPr>
              <w:t>Galerie recapturée (46 écrans ; navigateur de capture en LANG=fr_FR.UTF-8, dates dd/mm/yyyy) ; scénario de démonstration rejoué sur l'API réelle, montants inchangés, étape A corrigée (indice ou salaire brut exigé, catégorie déduite).</w:t>
            </w:r>
          </w:p>
        </w:tc>
        <w:tc>
          <w:tcPr>
            <w:tcW w:type="dxa" w:w="1474"/>
          </w:tcPr>
          <w:p>
            <w:r/>
            <w:r>
              <w:rPr>
                <w:b w:val="0"/>
                <w:sz w:val="19"/>
              </w:rPr>
              <w:t>§10, §11</w:t>
            </w:r>
          </w:p>
        </w:tc>
      </w:tr>
    </w:tbl>
    <w:p/>
    <w:p>
      <w:pPr>
        <w:pStyle w:val="Heading1"/>
      </w:pPr>
      <w:r>
        <w:t>Évolutions de la version 1.3 (octobre 2026)</w:t>
      </w:r>
    </w:p>
    <w:p>
      <w:r>
        <w:rPr>
          <w:b w:val="0"/>
          <w:i w:val="0"/>
        </w:rPr>
        <w:t>Cette version intègre la revue complète d'octobre 2026 (rapport : docs/revue-projet-2026-10.md) et met à jour la documentation sur les fonctionnalités livrées depuis la 1.2 (amendement des OM, régularisations, RBAC flexible, notifications).</w:t>
      </w:r>
    </w:p>
    <w:tbl>
      <w:tblPr>
        <w:tblStyle w:val="TableGrid"/>
        <w:tblW w:type="auto" w:w="0"/>
        <w:jc w:val="center"/>
        <w:tblLayout w:type="fixed"/>
        <w:tblLook w:firstColumn="1" w:firstRow="1" w:lastColumn="0" w:lastRow="0" w:noHBand="0" w:noVBand="1" w:val="04A0"/>
      </w:tblPr>
      <w:tblGrid>
        <w:gridCol w:w="2041"/>
        <w:gridCol w:w="6009"/>
        <w:gridCol w:w="1474"/>
      </w:tblGrid>
      <w:tr>
        <w:tc>
          <w:tcPr>
            <w:tcW w:type="dxa" w:w="2041"/>
            <w:shd w:val="clear" w:fill="1D9E4F"/>
          </w:tcPr>
          <w:p>
            <w:r/>
            <w:r>
              <w:rPr>
                <w:b/>
                <w:color w:val="FFFFFF"/>
                <w:sz w:val="20"/>
              </w:rPr>
              <w:t>Domaine</w:t>
            </w:r>
          </w:p>
        </w:tc>
        <w:tc>
          <w:tcPr>
            <w:tcW w:type="dxa" w:w="6009"/>
            <w:shd w:val="clear" w:fill="1D9E4F"/>
          </w:tcPr>
          <w:p>
            <w:r/>
            <w:r>
              <w:rPr>
                <w:b/>
                <w:color w:val="FFFFFF"/>
                <w:sz w:val="20"/>
              </w:rPr>
              <w:t>Évolution</w:t>
            </w:r>
          </w:p>
        </w:tc>
        <w:tc>
          <w:tcPr>
            <w:tcW w:type="dxa" w:w="1474"/>
            <w:shd w:val="clear" w:fill="1D9E4F"/>
          </w:tcPr>
          <w:p>
            <w:r/>
            <w:r>
              <w:rPr>
                <w:b/>
                <w:color w:val="FFFFFF"/>
                <w:sz w:val="20"/>
              </w:rPr>
              <w:t>Référence</w:t>
            </w:r>
          </w:p>
        </w:tc>
      </w:tr>
      <w:tr>
        <w:tc>
          <w:tcPr>
            <w:tcW w:type="dxa" w:w="2041"/>
          </w:tcPr>
          <w:p>
            <w:r/>
            <w:r>
              <w:rPr>
                <w:b w:val="0"/>
                <w:sz w:val="19"/>
              </w:rPr>
              <w:t>Intégrité des paiements</w:t>
            </w:r>
          </w:p>
        </w:tc>
        <w:tc>
          <w:tcPr>
            <w:tcW w:type="dxa" w:w="6009"/>
          </w:tcPr>
          <w:p>
            <w:r/>
            <w:r>
              <w:rPr>
                <w:b w:val="0"/>
                <w:sz w:val="19"/>
              </w:rPr>
              <w:t>Un OM rejeté n'est plus rendu payable par la validation de l'état ; ses versements passent ANNULE.</w:t>
            </w:r>
          </w:p>
        </w:tc>
        <w:tc>
          <w:tcPr>
            <w:tcW w:type="dxa" w:w="1474"/>
          </w:tcPr>
          <w:p>
            <w:r/>
            <w:r>
              <w:rPr>
                <w:b w:val="0"/>
                <w:sz w:val="19"/>
              </w:rPr>
              <w:t>§4.2, §5.3</w:t>
            </w:r>
          </w:p>
        </w:tc>
      </w:tr>
      <w:tr>
        <w:tc>
          <w:tcPr>
            <w:tcW w:type="dxa" w:w="2041"/>
          </w:tcPr>
          <w:p>
            <w:r/>
            <w:r>
              <w:rPr>
                <w:b w:val="0"/>
                <w:sz w:val="19"/>
              </w:rPr>
              <w:t>Intégrité des paiements</w:t>
            </w:r>
          </w:p>
        </w:tc>
        <w:tc>
          <w:tcPr>
            <w:tcW w:type="dxa" w:w="6009"/>
          </w:tcPr>
          <w:p>
            <w:r/>
            <w:r>
              <w:rPr>
                <w:b w:val="0"/>
                <w:sz w:val="19"/>
              </w:rPr>
              <w:t>Fichiers de paiement rangés par mission (paiements/{mission_id}/) : plus de collision entre missions de même objet.</w:t>
            </w:r>
          </w:p>
        </w:tc>
        <w:tc>
          <w:tcPr>
            <w:tcW w:type="dxa" w:w="1474"/>
          </w:tcPr>
          <w:p>
            <w:r/>
            <w:r>
              <w:rPr>
                <w:b w:val="0"/>
                <w:sz w:val="19"/>
              </w:rPr>
              <w:t>§8</w:t>
            </w:r>
          </w:p>
        </w:tc>
      </w:tr>
      <w:tr>
        <w:tc>
          <w:tcPr>
            <w:tcW w:type="dxa" w:w="2041"/>
          </w:tcPr>
          <w:p>
            <w:r/>
            <w:r>
              <w:rPr>
                <w:b w:val="0"/>
                <w:sz w:val="19"/>
              </w:rPr>
              <w:t>État des reliquats</w:t>
            </w:r>
          </w:p>
        </w:tc>
        <w:tc>
          <w:tcPr>
            <w:tcW w:type="dxa" w:w="6009"/>
          </w:tcPr>
          <w:p>
            <w:r/>
            <w:r>
              <w:rPr>
                <w:b w:val="0"/>
                <w:sz w:val="19"/>
              </w:rPr>
              <w:t>Montant signé = montant PAYABLE (Σ reliquats &gt; 0) ; trop-perçus mentionnés hors total.</w:t>
            </w:r>
          </w:p>
        </w:tc>
        <w:tc>
          <w:tcPr>
            <w:tcW w:type="dxa" w:w="1474"/>
          </w:tcPr>
          <w:p>
            <w:r/>
            <w:r>
              <w:rPr>
                <w:b w:val="0"/>
                <w:sz w:val="19"/>
              </w:rPr>
              <w:t>§5.4</w:t>
            </w:r>
          </w:p>
        </w:tc>
      </w:tr>
      <w:tr>
        <w:tc>
          <w:tcPr>
            <w:tcW w:type="dxa" w:w="2041"/>
          </w:tcPr>
          <w:p>
            <w:r/>
            <w:r>
              <w:rPr>
                <w:b w:val="0"/>
                <w:sz w:val="19"/>
              </w:rPr>
              <w:t>Lots complémentaires</w:t>
            </w:r>
          </w:p>
        </w:tc>
        <w:tc>
          <w:tcPr>
            <w:tcW w:type="dxa" w:w="6009"/>
          </w:tcPr>
          <w:p>
            <w:r/>
            <w:r>
              <w:rPr>
                <w:b w:val="0"/>
                <w:sz w:val="19"/>
              </w:rPr>
              <w:t>Colonne lots_paiement.sequence : un lot CONFIRME n'est jamais réécrit, un versement devenu payable part dans le lot suivant.</w:t>
            </w:r>
          </w:p>
        </w:tc>
        <w:tc>
          <w:tcPr>
            <w:tcW w:type="dxa" w:w="1474"/>
          </w:tcPr>
          <w:p>
            <w:r/>
            <w:r>
              <w:rPr>
                <w:b w:val="0"/>
                <w:sz w:val="19"/>
              </w:rPr>
              <w:t>§4.3, §2.4</w:t>
            </w:r>
          </w:p>
        </w:tc>
      </w:tr>
      <w:tr>
        <w:tc>
          <w:tcPr>
            <w:tcW w:type="dxa" w:w="2041"/>
          </w:tcPr>
          <w:p>
            <w:r/>
            <w:r>
              <w:rPr>
                <w:b w:val="0"/>
                <w:sz w:val="19"/>
              </w:rPr>
              <w:t>Lot en erreur</w:t>
            </w:r>
          </w:p>
        </w:tc>
        <w:tc>
          <w:tcPr>
            <w:tcW w:type="dxa" w:w="6009"/>
          </w:tcPr>
          <w:p>
            <w:r/>
            <w:r>
              <w:rPr>
                <w:b w:val="0"/>
                <w:sz w:val="19"/>
              </w:rPr>
              <w:t>Versements remis EN_ATTENTE avec les coordonnées courantes de l'agent.</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 si un versement est GENERE ; états verrouillés (lockForUpdate) ; circuit par OM : avance confirmée engagée.</w:t>
            </w:r>
          </w:p>
        </w:tc>
        <w:tc>
          <w:tcPr>
            <w:tcW w:type="dxa" w:w="1474"/>
          </w:tcPr>
          <w:p>
            <w:r/>
            <w:r>
              <w:rPr>
                <w:b w:val="0"/>
                <w:sz w:val="19"/>
              </w:rPr>
              <w:t>§4.6</w:t>
            </w:r>
          </w:p>
        </w:tc>
      </w:tr>
      <w:tr>
        <w:tc>
          <w:tcPr>
            <w:tcW w:type="dxa" w:w="2041"/>
          </w:tcPr>
          <w:p>
            <w:r/>
            <w:r>
              <w:rPr>
                <w:b w:val="0"/>
                <w:sz w:val="19"/>
              </w:rPr>
              <w:t>RBAC</w:t>
            </w:r>
          </w:p>
        </w:tc>
        <w:tc>
          <w:tcPr>
            <w:tcW w:type="dxa" w:w="6009"/>
          </w:tcPr>
          <w:p>
            <w:r/>
            <w:r>
              <w:rPr>
                <w:b w:val="0"/>
                <w:sz w:val="19"/>
              </w:rPr>
              <w:t>Séparation ordonnateur/payeur contrôlée sur l'effectif de chaque membre d'un profil édité.</w:t>
            </w:r>
          </w:p>
        </w:tc>
        <w:tc>
          <w:tcPr>
            <w:tcW w:type="dxa" w:w="1474"/>
          </w:tcPr>
          <w:p>
            <w:r/>
            <w:r>
              <w:rPr>
                <w:b w:val="0"/>
                <w:sz w:val="19"/>
              </w:rPr>
              <w:t>§6.2</w:t>
            </w:r>
          </w:p>
        </w:tc>
      </w:tr>
      <w:tr>
        <w:tc>
          <w:tcPr>
            <w:tcW w:type="dxa" w:w="2041"/>
          </w:tcPr>
          <w:p>
            <w:r/>
            <w:r>
              <w:rPr>
                <w:b w:val="0"/>
                <w:sz w:val="19"/>
              </w:rPr>
              <w:t>Sauvegardes</w:t>
            </w:r>
          </w:p>
        </w:tc>
        <w:tc>
          <w:tcPr>
            <w:tcW w:type="dxa" w:w="6009"/>
          </w:tcPr>
          <w:p>
            <w:r/>
            <w:r>
              <w:rPr>
                <w:b w:val="0"/>
                <w:sz w:val="19"/>
              </w:rPr>
              <w:t>Téléchargement et restauration (db:restore, sauvegarde de sécurité préalable, audit BACKUP_RESTORE).</w:t>
            </w:r>
          </w:p>
        </w:tc>
        <w:tc>
          <w:tcPr>
            <w:tcW w:type="dxa" w:w="1474"/>
          </w:tcPr>
          <w:p>
            <w:r/>
            <w:r>
              <w:rPr>
                <w:b w:val="0"/>
                <w:sz w:val="19"/>
              </w:rPr>
              <w:t>§4.7, §9.3</w:t>
            </w:r>
          </w:p>
        </w:tc>
      </w:tr>
      <w:tr>
        <w:tc>
          <w:tcPr>
            <w:tcW w:type="dxa" w:w="2041"/>
          </w:tcPr>
          <w:p>
            <w:r/>
            <w:r>
              <w:rPr>
                <w:b w:val="0"/>
                <w:sz w:val="19"/>
              </w:rPr>
              <w:t>API</w:t>
            </w:r>
          </w:p>
        </w:tc>
        <w:tc>
          <w:tcPr>
            <w:tcW w:type="dxa" w:w="6009"/>
          </w:tcPr>
          <w:p>
            <w:r/>
            <w:r>
              <w:rPr>
                <w:b w:val="0"/>
                <w:sz w:val="19"/>
              </w:rPr>
              <w:t>401 JSON sur /api/* même sans en-tête Accept ; per_page plafonné (5-100) sur /missions et /etats ; filtre opérateur de /ordres sur le versement.</w:t>
            </w:r>
          </w:p>
        </w:tc>
        <w:tc>
          <w:tcPr>
            <w:tcW w:type="dxa" w:w="1474"/>
          </w:tcPr>
          <w:p>
            <w:r/>
            <w:r>
              <w:rPr>
                <w:b w:val="0"/>
                <w:sz w:val="19"/>
              </w:rPr>
              <w:t>§7</w:t>
            </w:r>
          </w:p>
        </w:tc>
      </w:tr>
      <w:tr>
        <w:tc>
          <w:tcPr>
            <w:tcW w:type="dxa" w:w="2041"/>
          </w:tcPr>
          <w:p>
            <w:r/>
            <w:r>
              <w:rPr>
                <w:b w:val="0"/>
                <w:sz w:val="19"/>
              </w:rPr>
              <w:t>Per diem</w:t>
            </w:r>
          </w:p>
        </w:tc>
        <w:tc>
          <w:tcPr>
            <w:tcW w:type="dxa" w:w="6009"/>
          </w:tcPr>
          <w:p>
            <w:r/>
            <w:r>
              <w:rPr>
                <w:b w:val="0"/>
                <w:sz w:val="19"/>
              </w:rPr>
              <w:t>Sans jour facturé, le transport reste dû ; seule l'exonération annule tout.</w:t>
            </w:r>
          </w:p>
        </w:tc>
        <w:tc>
          <w:tcPr>
            <w:tcW w:type="dxa" w:w="1474"/>
          </w:tcPr>
          <w:p>
            <w:r/>
            <w:r>
              <w:rPr>
                <w:b w:val="0"/>
                <w:sz w:val="19"/>
              </w:rPr>
              <w:t>§5.1</w:t>
            </w:r>
          </w:p>
        </w:tc>
      </w:tr>
      <w:tr>
        <w:tc>
          <w:tcPr>
            <w:tcW w:type="dxa" w:w="2041"/>
          </w:tcPr>
          <w:p>
            <w:r/>
            <w:r>
              <w:rPr>
                <w:b w:val="0"/>
                <w:sz w:val="19"/>
              </w:rPr>
              <w:t>Frontend</w:t>
            </w:r>
          </w:p>
        </w:tc>
        <w:tc>
          <w:tcPr>
            <w:tcW w:type="dxa" w:w="6009"/>
          </w:tcPr>
          <w:p>
            <w:r/>
            <w:r>
              <w:rPr>
                <w:b w:val="0"/>
                <w:sz w:val="19"/>
              </w:rPr>
              <w:t>Suivi des gros lots (202), part d'avance réactive, Valider / Rejeter du circuit par OM, gestion des erreurs, téléversement des paraphes en multipart.</w:t>
            </w:r>
          </w:p>
        </w:tc>
        <w:tc>
          <w:tcPr>
            <w:tcW w:type="dxa" w:w="1474"/>
          </w:tcPr>
          <w:p>
            <w:r/>
            <w:r>
              <w:rPr>
                <w:b w:val="0"/>
                <w:sz w:val="19"/>
              </w:rPr>
              <w:t>§3</w:t>
            </w:r>
          </w:p>
        </w:tc>
      </w:tr>
      <w:tr>
        <w:tc>
          <w:tcPr>
            <w:tcW w:type="dxa" w:w="2041"/>
          </w:tcPr>
          <w:p>
            <w:r/>
            <w:r>
              <w:rPr>
                <w:b w:val="0"/>
                <w:sz w:val="19"/>
              </w:rPr>
              <w:t>Plateforme</w:t>
            </w:r>
          </w:p>
        </w:tc>
        <w:tc>
          <w:tcPr>
            <w:tcW w:type="dxa" w:w="6009"/>
          </w:tcPr>
          <w:p>
            <w:r/>
            <w:r>
              <w:rPr>
                <w:b w:val="0"/>
                <w:sz w:val="19"/>
              </w:rPr>
              <w:t>Laravel 12 / PHP 8.4 (imposé par composer.lock) ; suites de tests exécutables sans .env.</w:t>
            </w:r>
          </w:p>
        </w:tc>
        <w:tc>
          <w:tcPr>
            <w:tcW w:type="dxa" w:w="1474"/>
          </w:tcPr>
          <w:p>
            <w:r/>
            <w:r>
              <w:rPr>
                <w:b w:val="0"/>
                <w:sz w:val="19"/>
              </w:rPr>
              <w:t>§2.2, §10</w:t>
            </w:r>
          </w:p>
        </w:tc>
      </w:tr>
      <w:tr>
        <w:tc>
          <w:tcPr>
            <w:tcW w:type="dxa" w:w="2041"/>
          </w:tcPr>
          <w:p>
            <w:r/>
            <w:r>
              <w:rPr>
                <w:b w:val="0"/>
                <w:sz w:val="19"/>
              </w:rPr>
              <w:t>PDF de l'OM</w:t>
            </w:r>
          </w:p>
        </w:tc>
        <w:tc>
          <w:tcPr>
            <w:tcW w:type="dxa" w:w="6009"/>
          </w:tcPr>
          <w:p>
            <w:r/>
            <w:r>
              <w:rPr>
                <w:b w:val="0"/>
                <w:sz w:val="19"/>
              </w:rPr>
              <w:t>Reprend les signatures de l'état des avances qui couvre l'OM (instantané, paraphe archivé, même code de vérification) ; clé de cache incluant le statut de l'état.</w:t>
            </w:r>
          </w:p>
        </w:tc>
        <w:tc>
          <w:tcPr>
            <w:tcW w:type="dxa" w:w="1474"/>
          </w:tcPr>
          <w:p>
            <w:r/>
            <w:r>
              <w:rPr>
                <w:b w:val="0"/>
                <w:sz w:val="19"/>
              </w:rPr>
              <w:t>§4.4</w:t>
            </w:r>
          </w:p>
        </w:tc>
      </w:tr>
      <w:tr>
        <w:tc>
          <w:tcPr>
            <w:tcW w:type="dxa" w:w="2041"/>
          </w:tcPr>
          <w:p>
            <w:r/>
            <w:r>
              <w:rPr>
                <w:b w:val="0"/>
                <w:sz w:val="19"/>
              </w:rPr>
              <w:t>Restauration</w:t>
            </w:r>
          </w:p>
        </w:tc>
        <w:tc>
          <w:tcPr>
            <w:tcW w:type="dxa" w:w="6009"/>
          </w:tcPr>
          <w:p>
            <w:r/>
            <w:r>
              <w:rPr>
                <w:b w:val="0"/>
                <w:sz w:val="19"/>
              </w:rPr>
              <w:t>db:restore purge la matrice des permissions mise en cache (rememberForever) ; settings.json et fichiers du disque local hors sauvegarde.</w:t>
            </w:r>
          </w:p>
        </w:tc>
        <w:tc>
          <w:tcPr>
            <w:tcW w:type="dxa" w:w="1474"/>
          </w:tcPr>
          <w:p>
            <w:r/>
            <w:r>
              <w:rPr>
                <w:b w:val="0"/>
                <w:sz w:val="19"/>
              </w:rPr>
              <w:t>§4.7, §6.2.1</w:t>
            </w:r>
          </w:p>
        </w:tc>
      </w:tr>
      <w:tr>
        <w:tc>
          <w:tcPr>
            <w:tcW w:type="dxa" w:w="2041"/>
          </w:tcPr>
          <w:p>
            <w:r/>
            <w:r>
              <w:rPr>
                <w:b w:val="0"/>
                <w:sz w:val="19"/>
              </w:rPr>
              <w:t>Files d'attente</w:t>
            </w:r>
          </w:p>
        </w:tc>
        <w:tc>
          <w:tcPr>
            <w:tcW w:type="dxa" w:w="6009"/>
          </w:tcPr>
          <w:p>
            <w:r/>
            <w:r>
              <w:rPr>
                <w:b w:val="0"/>
                <w:sz w:val="19"/>
              </w:rPr>
              <w:t>Échec définitif d'un gros lot : le lot passe ERREUR par LotPaiementService::marquerErreur (versements EN_ATTENTE, audit ERROR_LOT) ; la tâche Cron du worker nomme les trois files.</w:t>
            </w:r>
          </w:p>
        </w:tc>
        <w:tc>
          <w:tcPr>
            <w:tcW w:type="dxa" w:w="1474"/>
          </w:tcPr>
          <w:p>
            <w:r/>
            <w:r>
              <w:rPr>
                <w:b w:val="0"/>
                <w:sz w:val="19"/>
              </w:rPr>
              <w:t>§4.3, §9.3</w:t>
            </w:r>
          </w:p>
        </w:tc>
      </w:tr>
      <w:tr>
        <w:tc>
          <w:tcPr>
            <w:tcW w:type="dxa" w:w="2041"/>
          </w:tcPr>
          <w:p>
            <w:r/>
            <w:r>
              <w:rPr>
                <w:b w:val="0"/>
                <w:sz w:val="19"/>
              </w:rPr>
              <w:t>Sauvegardes</w:t>
            </w:r>
          </w:p>
        </w:tc>
        <w:tc>
          <w:tcPr>
            <w:tcW w:type="dxa" w:w="6009"/>
          </w:tcPr>
          <w:p>
            <w:r/>
            <w:r>
              <w:rPr>
                <w:b w:val="0"/>
                <w:sz w:val="19"/>
              </w:rPr>
              <w:t>Liste triée par date du fichier (la plus récente en tête), et non plus par nom.</w:t>
            </w:r>
          </w:p>
        </w:tc>
        <w:tc>
          <w:tcPr>
            <w:tcW w:type="dxa" w:w="1474"/>
          </w:tcPr>
          <w:p>
            <w:r/>
            <w:r>
              <w:rPr>
                <w:b w:val="0"/>
                <w:sz w:val="19"/>
              </w:rPr>
              <w:t>§4.7</w:t>
            </w:r>
          </w:p>
        </w:tc>
      </w:tr>
      <w:tr>
        <w:tc>
          <w:tcPr>
            <w:tcW w:type="dxa" w:w="2041"/>
          </w:tcPr>
          <w:p>
            <w:r/>
            <w:r>
              <w:rPr>
                <w:b w:val="0"/>
                <w:sz w:val="19"/>
              </w:rPr>
              <w:t>Référence API</w:t>
            </w:r>
          </w:p>
        </w:tc>
        <w:tc>
          <w:tcPr>
            <w:tcW w:type="dxa" w:w="6009"/>
          </w:tcPr>
          <w:p>
            <w:r/>
            <w:r>
              <w:rPr>
                <w:b w:val="0"/>
                <w:sz w:val="19"/>
              </w:rPr>
              <w:t>backend/docs/openapi.yaml réécrite sur les routes réelles (96 opérations, permission x-permission) et verrouillée par OpenApiTest.</w:t>
            </w:r>
          </w:p>
        </w:tc>
        <w:tc>
          <w:tcPr>
            <w:tcW w:type="dxa" w:w="1474"/>
          </w:tcPr>
          <w:p>
            <w:r/>
            <w:r>
              <w:rPr>
                <w:b w:val="0"/>
                <w:sz w:val="19"/>
              </w:rPr>
              <w:t>§7.1, §10</w:t>
            </w:r>
          </w:p>
        </w:tc>
      </w:tr>
      <w:tr>
        <w:tc>
          <w:tcPr>
            <w:tcW w:type="dxa" w:w="2041"/>
          </w:tcPr>
          <w:p>
            <w:r/>
            <w:r>
              <w:rPr>
                <w:b w:val="0"/>
                <w:sz w:val="19"/>
              </w:rPr>
              <w:t>Amendement</w:t>
            </w:r>
          </w:p>
        </w:tc>
        <w:tc>
          <w:tcPr>
            <w:tcW w:type="dxa" w:w="6009"/>
          </w:tcPr>
          <w:p>
            <w:r/>
            <w:r>
              <w:rPr>
                <w:b w:val="0"/>
                <w:sz w:val="19"/>
              </w:rPr>
              <w:t>Deux amendements dans la même seconde : le dernier est départagé par l'id (PDF, document de retenue, journal de la fiche).</w:t>
            </w:r>
          </w:p>
        </w:tc>
        <w:tc>
          <w:tcPr>
            <w:tcW w:type="dxa" w:w="1474"/>
          </w:tcPr>
          <w:p>
            <w:r/>
            <w:r>
              <w:rPr>
                <w:b w:val="0"/>
                <w:sz w:val="19"/>
              </w:rPr>
              <w:t>§4.4</w:t>
            </w:r>
          </w:p>
        </w:tc>
      </w:tr>
      <w:tr>
        <w:tc>
          <w:tcPr>
            <w:tcW w:type="dxa" w:w="2041"/>
          </w:tcPr>
          <w:p>
            <w:r/>
            <w:r>
              <w:rPr>
                <w:b w:val="0"/>
                <w:sz w:val="19"/>
              </w:rPr>
              <w:t>Fiche de l'OM</w:t>
            </w:r>
          </w:p>
        </w:tc>
        <w:tc>
          <w:tcPr>
            <w:tcW w:type="dxa" w:w="6009"/>
          </w:tcPr>
          <w:p>
            <w:r/>
            <w:r>
              <w:rPr>
                <w:b w:val="0"/>
                <w:sz w:val="19"/>
              </w:rPr>
              <w:t>Lien « PDF de l'OM » vers l'écran du PDF officiel (OM-07), seul accès depuis l'interface une fois l'OM validé.</w:t>
            </w:r>
          </w:p>
        </w:tc>
        <w:tc>
          <w:tcPr>
            <w:tcW w:type="dxa" w:w="1474"/>
          </w:tcPr>
          <w:p>
            <w:r/>
            <w:r>
              <w:rPr>
                <w:b w:val="0"/>
                <w:sz w:val="19"/>
              </w:rPr>
              <w:t>§4.4</w:t>
            </w:r>
          </w:p>
        </w:tc>
      </w:tr>
      <w:tr>
        <w:tc>
          <w:tcPr>
            <w:tcW w:type="dxa" w:w="2041"/>
          </w:tcPr>
          <w:p>
            <w:r/>
            <w:r>
              <w:rPr>
                <w:b w:val="0"/>
                <w:sz w:val="19"/>
              </w:rPr>
              <w:t>Code mort</w:t>
            </w:r>
          </w:p>
        </w:tc>
        <w:tc>
          <w:tcPr>
            <w:tcW w:type="dxa" w:w="6009"/>
          </w:tcPr>
          <w:p>
            <w:r/>
            <w:r>
              <w:rPr>
                <w:b w:val="0"/>
                <w:sz w:val="19"/>
              </w:rPr>
              <w:t>Form Requests StoreOrdreMissionRequest / UpdateOrdreMissionRequest supprimées (les OM ne se créent que via /missions).</w:t>
            </w:r>
          </w:p>
        </w:tc>
        <w:tc>
          <w:tcPr>
            <w:tcW w:type="dxa" w:w="1474"/>
          </w:tcPr>
          <w:p>
            <w:r/>
            <w:r>
              <w:rPr>
                <w:b w:val="0"/>
                <w:sz w:val="19"/>
              </w:rPr>
              <w:t>§2.3, §9.5</w:t>
            </w:r>
          </w:p>
        </w:tc>
      </w:tr>
      <w:tr>
        <w:tc>
          <w:tcPr>
            <w:tcW w:type="dxa" w:w="2041"/>
          </w:tcPr>
          <w:p>
            <w:r/>
            <w:r>
              <w:rPr>
                <w:b w:val="0"/>
                <w:sz w:val="19"/>
              </w:rPr>
              <w:t>Solde d'un OM</w:t>
            </w:r>
          </w:p>
        </w:tc>
        <w:tc>
          <w:tcPr>
            <w:tcW w:type="dxa" w:w="6009"/>
          </w:tcPr>
          <w:p>
            <w:r/>
            <w:r>
              <w:rPr>
                <w:b w:val="0"/>
                <w:sz w:val="19"/>
              </w:rPr>
              <w:t>SOLDE quand tous les versements NON NULS sont réglés (CONFIRME, ou RECOUVRE pour un trop-perçu) : à la confirmation d'un lot, au constat d'un recouvrement et après un amendement qui ramène le reliquat à 0. Une tranche nulle (part d'avance 0 ou 100 %) ne retient pas l'OM. Un OM exonéré est soldé dès sa validation, dans les deux circuits (n° 19, 23, 24, 26).</w:t>
            </w:r>
          </w:p>
        </w:tc>
        <w:tc>
          <w:tcPr>
            <w:tcW w:type="dxa" w:w="1474"/>
          </w:tcPr>
          <w:p>
            <w:r/>
            <w:r>
              <w:rPr>
                <w:b w:val="0"/>
                <w:sz w:val="19"/>
              </w:rPr>
              <w:t>§4.3, §4.6</w:t>
            </w:r>
          </w:p>
        </w:tc>
      </w:tr>
      <w:tr>
        <w:tc>
          <w:tcPr>
            <w:tcW w:type="dxa" w:w="2041"/>
          </w:tcPr>
          <w:p>
            <w:r/>
            <w:r>
              <w:rPr>
                <w:b w:val="0"/>
                <w:sz w:val="19"/>
              </w:rPr>
              <w:t>Exercice</w:t>
            </w:r>
          </w:p>
        </w:tc>
        <w:tc>
          <w:tcPr>
            <w:tcW w:type="dxa" w:w="6009"/>
          </w:tcPr>
          <w:p>
            <w:r/>
            <w:r>
              <w:rPr>
                <w:b w:val="0"/>
                <w:sz w:val="19"/>
              </w:rPr>
              <w:t>L'écran Paramètres propose l'exercice déterminé par le mois de début, et non l'année civile (n° 20).</w:t>
            </w:r>
          </w:p>
        </w:tc>
        <w:tc>
          <w:tcPr>
            <w:tcW w:type="dxa" w:w="1474"/>
          </w:tcPr>
          <w:p>
            <w:r/>
            <w:r>
              <w:rPr>
                <w:b w:val="0"/>
                <w:sz w:val="19"/>
              </w:rPr>
              <w:t>§9.2</w:t>
            </w:r>
          </w:p>
        </w:tc>
      </w:tr>
      <w:tr>
        <w:tc>
          <w:tcPr>
            <w:tcW w:type="dxa" w:w="2041"/>
          </w:tcPr>
          <w:p>
            <w:r/>
            <w:r>
              <w:rPr>
                <w:b w:val="0"/>
                <w:sz w:val="19"/>
              </w:rPr>
              <w:t>Lot complémentaire</w:t>
            </w:r>
          </w:p>
        </w:tc>
        <w:tc>
          <w:tcPr>
            <w:tcW w:type="dxa" w:w="6009"/>
          </w:tcPr>
          <w:p>
            <w:r/>
            <w:r>
              <w:rPr>
                <w:b w:val="0"/>
                <w:sz w:val="19"/>
              </w:rPr>
              <w:t>L'écran de génération propose « Générer le lot complémentaire » quand l'aperçu d'un lot confirmé compte encore des bénéficiaires (n° 21).</w:t>
            </w:r>
          </w:p>
        </w:tc>
        <w:tc>
          <w:tcPr>
            <w:tcW w:type="dxa" w:w="1474"/>
          </w:tcPr>
          <w:p>
            <w:r/>
            <w:r>
              <w:rPr>
                <w:b w:val="0"/>
                <w:sz w:val="19"/>
              </w:rPr>
              <w:t>§4.3</w:t>
            </w:r>
          </w:p>
        </w:tc>
      </w:tr>
      <w:tr>
        <w:tc>
          <w:tcPr>
            <w:tcW w:type="dxa" w:w="2041"/>
          </w:tcPr>
          <w:p>
            <w:r/>
            <w:r>
              <w:rPr>
                <w:b w:val="0"/>
                <w:sz w:val="19"/>
              </w:rPr>
              <w:t>Amendement</w:t>
            </w:r>
          </w:p>
        </w:tc>
        <w:tc>
          <w:tcPr>
            <w:tcW w:type="dxa" w:w="6009"/>
          </w:tcPr>
          <w:p>
            <w:r/>
            <w:r>
              <w:rPr>
                <w:b w:val="0"/>
                <w:sz w:val="19"/>
              </w:rPr>
              <w:t>Refusé si le reliquat de l'OM est déjà CONFIRME (n° 22). Un OM SOLDE reste amendable hors reliquat payé ou trop-perçu recouvré ; il redevient VALIDE si un montant est de nouveau à régler (n° 28).</w:t>
            </w:r>
          </w:p>
        </w:tc>
        <w:tc>
          <w:tcPr>
            <w:tcW w:type="dxa" w:w="1474"/>
          </w:tcPr>
          <w:p>
            <w:r/>
            <w:r>
              <w:rPr>
                <w:b w:val="0"/>
                <w:sz w:val="19"/>
              </w:rPr>
              <w:t>§4.6</w:t>
            </w:r>
          </w:p>
        </w:tc>
      </w:tr>
      <w:tr>
        <w:tc>
          <w:tcPr>
            <w:tcW w:type="dxa" w:w="2041"/>
          </w:tcPr>
          <w:p>
            <w:r/>
            <w:r>
              <w:rPr>
                <w:b w:val="0"/>
                <w:sz w:val="19"/>
              </w:rPr>
              <w:t>Notifications</w:t>
            </w:r>
          </w:p>
        </w:tc>
        <w:tc>
          <w:tcPr>
            <w:tcW w:type="dxa" w:w="6009"/>
          </w:tcPr>
          <w:p>
            <w:r/>
            <w:r>
              <w:rPr>
                <w:b w:val="0"/>
                <w:sz w:val="19"/>
              </w:rPr>
              <w:t>Adressées aux seuls comptes ACTIFS (alors des profils système, droits effectifs depuis la 1.4) ; aucun e-mail vers un compte désactivé entre-temps (n° 27).</w:t>
            </w:r>
          </w:p>
        </w:tc>
        <w:tc>
          <w:tcPr>
            <w:tcW w:type="dxa" w:w="1474"/>
          </w:tcPr>
          <w:p>
            <w:r/>
            <w:r>
              <w:rPr>
                <w:b w:val="0"/>
                <w:sz w:val="19"/>
              </w:rPr>
              <w:t>§4.2, §6.3</w:t>
            </w:r>
          </w:p>
        </w:tc>
      </w:tr>
      <w:tr>
        <w:tc>
          <w:tcPr>
            <w:tcW w:type="dxa" w:w="2041"/>
          </w:tcPr>
          <w:p>
            <w:r/>
            <w:r>
              <w:rPr>
                <w:b w:val="0"/>
                <w:sz w:val="19"/>
              </w:rPr>
              <w:t>API</w:t>
            </w:r>
          </w:p>
        </w:tc>
        <w:tc>
          <w:tcPr>
            <w:tcW w:type="dxa" w:w="6009"/>
          </w:tcPr>
          <w:p>
            <w:r/>
            <w:r>
              <w:rPr>
                <w:b w:val="0"/>
                <w:sz w:val="19"/>
              </w:rPr>
              <w:t>Toute erreur d'une route /api/* répond en JSON, même sans en-tête Accept : 405, 404, 403, 422 et 500, comme le 401 (n° 29). GET/PUT /admin/settings renvoient toujours un objet (n° 32).</w:t>
            </w:r>
          </w:p>
        </w:tc>
        <w:tc>
          <w:tcPr>
            <w:tcW w:type="dxa" w:w="1474"/>
          </w:tcPr>
          <w:p>
            <w:r/>
            <w:r>
              <w:rPr>
                <w:b w:val="0"/>
                <w:sz w:val="19"/>
              </w:rPr>
              <w:t>§6.3, §7.6</w:t>
            </w:r>
          </w:p>
        </w:tc>
      </w:tr>
      <w:tr>
        <w:tc>
          <w:tcPr>
            <w:tcW w:type="dxa" w:w="2041"/>
          </w:tcPr>
          <w:p>
            <w:r/>
            <w:r>
              <w:rPr>
                <w:b w:val="0"/>
                <w:sz w:val="19"/>
              </w:rPr>
              <w:t>Signatures</w:t>
            </w:r>
          </w:p>
        </w:tc>
        <w:tc>
          <w:tcPr>
            <w:tcW w:type="dxa" w:w="6009"/>
          </w:tcPr>
          <w:p>
            <w:r/>
            <w:r>
              <w:rPr>
                <w:b w:val="0"/>
                <w:sz w:val="19"/>
              </w:rPr>
              <w:t>Nom et fonction figés à la signature : Paramètres › Signatures, sinon le compte du signataire (fonction posée par ComptesCircuitSeeder), sinon le libellé du poste (n° 30). ComptesCircuitSeeder ne rétrograde jamais un super administrateur (n° 31).</w:t>
            </w:r>
          </w:p>
        </w:tc>
        <w:tc>
          <w:tcPr>
            <w:tcW w:type="dxa" w:w="1474"/>
          </w:tcPr>
          <w:p>
            <w:r/>
            <w:r>
              <w:rPr>
                <w:b w:val="0"/>
                <w:sz w:val="19"/>
              </w:rPr>
              <w:t>§3.5, §9.4</w:t>
            </w:r>
          </w:p>
        </w:tc>
      </w:tr>
      <w:tr>
        <w:tc>
          <w:tcPr>
            <w:tcW w:type="dxa" w:w="2041"/>
          </w:tcPr>
          <w:p>
            <w:r/>
            <w:r>
              <w:rPr>
                <w:b w:val="0"/>
                <w:sz w:val="19"/>
              </w:rPr>
              <w:t>Référence API</w:t>
            </w:r>
          </w:p>
        </w:tc>
        <w:tc>
          <w:tcPr>
            <w:tcW w:type="dxa" w:w="6009"/>
          </w:tcPr>
          <w:p>
            <w:r/>
            <w:r>
              <w:rPr>
                <w:b w:val="0"/>
                <w:sz w:val="19"/>
              </w:rPr>
              <w:t>openapi.yaml validée OpenAPI 3.0.3 et confrontée aux réponses réelles (routes GET et parcours d'écriture complet) le 25/10/2026.</w:t>
            </w:r>
          </w:p>
        </w:tc>
        <w:tc>
          <w:tcPr>
            <w:tcW w:type="dxa" w:w="1474"/>
          </w:tcPr>
          <w:p>
            <w:r/>
            <w:r>
              <w:rPr>
                <w:b w:val="0"/>
                <w:sz w:val="19"/>
              </w:rPr>
              <w:t>§7.1</w:t>
            </w:r>
          </w:p>
        </w:tc>
      </w:tr>
    </w:tbl>
    <w:p/>
    <w:p>
      <w:r>
        <w:br w:type="page"/>
      </w:r>
    </w:p>
    <w:p>
      <w:pPr>
        <w:pStyle w:val="Heading1"/>
      </w:pPr>
      <w:r>
        <w:t>1. Introduction et contexte</w:t>
      </w:r>
    </w:p>
    <w:p>
      <w:pPr>
        <w:pStyle w:val="Heading2"/>
      </w:pPr>
      <w:r>
        <w:t>1.1 Présentation du projet</w:t>
      </w:r>
    </w:p>
    <w:p>
      <w:r>
        <w:rPr>
          <w:b w:val="0"/>
          <w:i w:val="0"/>
        </w:rPr>
        <w:t>L'application ANaTT de gestion des ordres de mission est une application web qui assure le suivi des ordres de mission (OM) émis par SEMO et la génération des fichiers de paiement Mobile Money (MTN, Moov) correspondant aux indemnités de mission (per diem). Elle dématérialise la chaîne qui va de la retranscription des OM jusqu'à la production des fichiers de virement à déposer sur les plateformes des opérateurs.</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Règle d'or — périmètre : </w:t>
            </w:r>
            <w:r>
              <w:rPr>
                <w:sz w:val="20"/>
              </w:rPr>
              <w:t>L'application NE crée PAS les ordres de mission (c'est SEMO qui les émet) et NE réalise PAS les paiements (effectués sur les plateformes MTN / Moov). Elle RETRANSCRIT les OM puis GÉNÈRE les fichiers de paiement. Conséquences directes : aucune API SEMO, aucune API de décaissement, et aucun réimport de fichier résultat opérateur (la confirmation des paiements est manuelle).</w:t>
            </w:r>
          </w:p>
        </w:tc>
      </w:tr>
    </w:tbl>
    <w:p/>
    <w:p>
      <w:pPr>
        <w:pStyle w:val="Heading2"/>
      </w:pPr>
      <w:r>
        <w:t>1.2 Périmètre fonctionnel</w:t>
      </w:r>
    </w:p>
    <w:p>
      <w:r>
        <w:rPr>
          <w:b w:val="0"/>
          <w:i w:val="0"/>
        </w:rPr>
        <w:t>Le système couvre les domaines suivants :</w:t>
      </w:r>
    </w:p>
    <w:p>
      <w:pPr>
        <w:pStyle w:val="ListBullet"/>
      </w:pPr>
      <w:r>
        <w:t>Retranscription des ordres de mission émis par SEMO, regroupés par mission (événement).</w:t>
      </w:r>
    </w:p>
    <w:p>
      <w:pPr>
        <w:pStyle w:val="ListBullet"/>
      </w:pPr>
      <w:r>
        <w:t>Référentiel des agents bénéficiaires (identité, catégorie, téléphone et opérateur Mobile Money).</w:t>
      </w:r>
    </w:p>
    <w:p>
      <w:pPr>
        <w:pStyle w:val="ListBullet"/>
      </w:pPr>
      <w:r>
        <w:t>Calcul automatique des indemnités (per diem) selon le barème officiel ANaTT.</w:t>
      </w:r>
    </w:p>
    <w:p>
      <w:pPr>
        <w:pStyle w:val="ListBullet"/>
      </w:pPr>
      <w:r>
        <w:t>Circuit de validation de l'état de paiement de la mission en trois niveaux (contrôleur, DAF, Directeur Général).</w:t>
      </w:r>
    </w:p>
    <w:p>
      <w:pPr>
        <w:pStyle w:val="ListBullet"/>
      </w:pPr>
      <w:r>
        <w:t>Génération des fichiers de virement Mobile Money (.txt MTN / .xlsx Moov) et confirmation manuelle.</w:t>
      </w:r>
    </w:p>
    <w:p>
      <w:pPr>
        <w:pStyle w:val="ListBullet"/>
      </w:pPr>
      <w:r>
        <w:t>Amendement des OM après paiement de l'avance (avenant) et régularisation des trop-perçus (retenue sur salaire, hors application).</w:t>
      </w:r>
    </w:p>
    <w:p>
      <w:pPr>
        <w:pStyle w:val="ListBullet"/>
      </w:pPr>
      <w:r>
        <w:t>Notifications internes aux acteurs du circuit (état à signer, état validé / rejeté, trop-perçu, lot confirmé).</w:t>
      </w:r>
    </w:p>
    <w:p>
      <w:pPr>
        <w:pStyle w:val="ListBullet"/>
      </w:pPr>
      <w:r>
        <w:t>Génération de documents officiels (OM en PDF) et d'états/rapports (Excel, PDF).</w:t>
      </w:r>
    </w:p>
    <w:p>
      <w:pPr>
        <w:pStyle w:val="ListBullet"/>
      </w:pPr>
      <w:r>
        <w:t>Audit et traçabilité complète des actions sensibles.</w:t>
      </w:r>
    </w:p>
    <w:p>
      <w:pPr>
        <w:pStyle w:val="Heading2"/>
      </w:pPr>
      <w:r>
        <w:t>1.3 Acteurs et profils utilisateurs</w:t>
      </w:r>
    </w:p>
    <w:p>
      <w:r>
        <w:rPr>
          <w:b w:val="0"/>
          <w:i w:val="0"/>
        </w:rPr>
        <w:t>L'autorisation repose sur 8 profils (rôles), avec une attribution par CLÉ DE PERMISSION (et non par appartenance hiérarchique). Le circuit de validation porte sur l'état de paiement de la mission et enchaîne trois signataires : contrôleur, DAF, puis Directeur Général. Les OM proviennent de SEMO.</w:t>
      </w:r>
    </w:p>
    <w:tbl>
      <w:tblPr>
        <w:tblStyle w:val="TableGrid"/>
        <w:tblW w:type="auto" w:w="0"/>
        <w:jc w:val="center"/>
        <w:tblLayout w:type="fixed"/>
        <w:tblLook w:firstColumn="1" w:firstRow="1" w:lastColumn="0" w:lastRow="0" w:noHBand="0" w:noVBand="1" w:val="04A0"/>
      </w:tblPr>
      <w:tblGrid>
        <w:gridCol w:w="2268"/>
        <w:gridCol w:w="7257"/>
      </w:tblGrid>
      <w:tr>
        <w:tc>
          <w:tcPr>
            <w:tcW w:type="dxa" w:w="2268"/>
            <w:shd w:val="clear" w:fill="1D9E4F"/>
          </w:tcPr>
          <w:p>
            <w:r/>
            <w:r>
              <w:rPr>
                <w:b/>
                <w:color w:val="FFFFFF"/>
                <w:sz w:val="20"/>
              </w:rPr>
              <w:t>Profil</w:t>
            </w:r>
          </w:p>
        </w:tc>
        <w:tc>
          <w:tcPr>
            <w:tcW w:type="dxa" w:w="7257"/>
            <w:shd w:val="clear" w:fill="1D9E4F"/>
          </w:tcPr>
          <w:p>
            <w:r/>
            <w:r>
              <w:rPr>
                <w:b/>
                <w:color w:val="FFFFFF"/>
                <w:sz w:val="20"/>
              </w:rPr>
              <w:t>Responsabilités principales</w:t>
            </w:r>
          </w:p>
        </w:tc>
      </w:tr>
      <w:tr>
        <w:tc>
          <w:tcPr>
            <w:tcW w:type="dxa" w:w="2268"/>
          </w:tcPr>
          <w:p>
            <w:r/>
            <w:r>
              <w:rPr>
                <w:b w:val="0"/>
                <w:sz w:val="19"/>
              </w:rPr>
              <w:t>SUPER_ADMIN</w:t>
            </w:r>
          </w:p>
        </w:tc>
        <w:tc>
          <w:tcPr>
            <w:tcW w:type="dxa" w:w="7257"/>
          </w:tcPr>
          <w:p>
            <w:r/>
            <w:r>
              <w:rPr>
                <w:b w:val="0"/>
                <w:sz w:val="19"/>
              </w:rPr>
              <w:t>Accès total (passe toute garde). Seul à gérer les super administrateurs et les paramètres système. Créé à l'installation.</w:t>
            </w:r>
          </w:p>
        </w:tc>
      </w:tr>
      <w:tr>
        <w:tc>
          <w:tcPr>
            <w:tcW w:type="dxa" w:w="2268"/>
          </w:tcPr>
          <w:p>
            <w:r/>
            <w:r>
              <w:rPr>
                <w:b w:val="0"/>
                <w:sz w:val="19"/>
              </w:rPr>
              <w:t>ADMIN</w:t>
            </w:r>
          </w:p>
        </w:tc>
        <w:tc>
          <w:tcPr>
            <w:tcW w:type="dxa" w:w="7257"/>
          </w:tcPr>
          <w:p>
            <w:r/>
            <w:r>
              <w:rPr>
                <w:b w:val="0"/>
                <w:sz w:val="19"/>
              </w:rPr>
              <w:t>Utilisateurs (hors super admins), référentiels, barème, audit. Supervise sans exécuter les paiements.</w:t>
            </w:r>
          </w:p>
        </w:tc>
      </w:tr>
      <w:tr>
        <w:tc>
          <w:tcPr>
            <w:tcW w:type="dxa" w:w="2268"/>
          </w:tcPr>
          <w:p>
            <w:r/>
            <w:r>
              <w:rPr>
                <w:b w:val="0"/>
                <w:sz w:val="19"/>
              </w:rPr>
              <w:t>GESTIONNAIRE_OM</w:t>
            </w:r>
          </w:p>
        </w:tc>
        <w:tc>
          <w:tcPr>
            <w:tcW w:type="dxa" w:w="7257"/>
          </w:tcPr>
          <w:p>
            <w:r/>
            <w:r>
              <w:rPr>
                <w:b w:val="0"/>
                <w:sz w:val="19"/>
              </w:rPr>
              <w:t>Retranscrit et gère les missions, les OM et les agents ; établit le récapitulatif de l'état.</w:t>
            </w:r>
          </w:p>
        </w:tc>
      </w:tr>
      <w:tr>
        <w:tc>
          <w:tcPr>
            <w:tcW w:type="dxa" w:w="2268"/>
          </w:tcPr>
          <w:p>
            <w:r/>
            <w:r>
              <w:rPr>
                <w:b w:val="0"/>
                <w:sz w:val="19"/>
              </w:rPr>
              <w:t>AGENT_FINANCIER</w:t>
            </w:r>
          </w:p>
        </w:tc>
        <w:tc>
          <w:tcPr>
            <w:tcW w:type="dxa" w:w="7257"/>
          </w:tcPr>
          <w:p>
            <w:r/>
            <w:r>
              <w:rPr>
                <w:b w:val="0"/>
                <w:sz w:val="19"/>
              </w:rPr>
              <w:t>Génère les fichiers MTN/Moov et confirme les paiements.</w:t>
            </w:r>
          </w:p>
        </w:tc>
      </w:tr>
      <w:tr>
        <w:tc>
          <w:tcPr>
            <w:tcW w:type="dxa" w:w="2268"/>
          </w:tcPr>
          <w:p>
            <w:r/>
            <w:r>
              <w:rPr>
                <w:b w:val="0"/>
                <w:sz w:val="19"/>
              </w:rPr>
              <w:t>CONTROLEUR</w:t>
            </w:r>
          </w:p>
        </w:tc>
        <w:tc>
          <w:tcPr>
            <w:tcW w:type="dxa" w:w="7257"/>
          </w:tcPr>
          <w:p>
            <w:r/>
            <w:r>
              <w:rPr>
                <w:b w:val="0"/>
                <w:sz w:val="19"/>
              </w:rPr>
              <w:t>Étape 1 : contrôle de conformité de l'état de paiement ; consulte paiements et audit.</w:t>
            </w:r>
          </w:p>
        </w:tc>
      </w:tr>
      <w:tr>
        <w:tc>
          <w:tcPr>
            <w:tcW w:type="dxa" w:w="2268"/>
          </w:tcPr>
          <w:p>
            <w:r/>
            <w:r>
              <w:rPr>
                <w:b w:val="0"/>
                <w:sz w:val="19"/>
              </w:rPr>
              <w:t>DAF</w:t>
            </w:r>
          </w:p>
        </w:tc>
        <w:tc>
          <w:tcPr>
            <w:tcW w:type="dxa" w:w="7257"/>
          </w:tcPr>
          <w:p>
            <w:r/>
            <w:r>
              <w:rPr>
                <w:b w:val="0"/>
                <w:sz w:val="19"/>
              </w:rPr>
              <w:t>Étape 2 : appose le visa « Vu » sur l'état (Directeur de l'Administration et des Finances).</w:t>
            </w:r>
          </w:p>
        </w:tc>
      </w:tr>
      <w:tr>
        <w:tc>
          <w:tcPr>
            <w:tcW w:type="dxa" w:w="2268"/>
          </w:tcPr>
          <w:p>
            <w:r/>
            <w:r>
              <w:rPr>
                <w:b w:val="0"/>
                <w:sz w:val="19"/>
              </w:rPr>
              <w:t>DG</w:t>
            </w:r>
          </w:p>
        </w:tc>
        <w:tc>
          <w:tcPr>
            <w:tcW w:type="dxa" w:w="7257"/>
          </w:tcPr>
          <w:p>
            <w:r/>
            <w:r>
              <w:rPr>
                <w:b w:val="0"/>
                <w:sz w:val="19"/>
              </w:rPr>
              <w:t>Étape 3 : valide définitivement l'état, ce qui ouvre le paiement (Directeur Général).</w:t>
            </w:r>
          </w:p>
        </w:tc>
      </w:tr>
      <w:tr>
        <w:tc>
          <w:tcPr>
            <w:tcW w:type="dxa" w:w="2268"/>
          </w:tcPr>
          <w:p>
            <w:r/>
            <w:r>
              <w:rPr>
                <w:b w:val="0"/>
                <w:sz w:val="19"/>
              </w:rPr>
              <w:t>LECTEUR</w:t>
            </w:r>
          </w:p>
        </w:tc>
        <w:tc>
          <w:tcPr>
            <w:tcW w:type="dxa" w:w="7257"/>
          </w:tcPr>
          <w:p>
            <w:r/>
            <w:r>
              <w:rPr>
                <w:b w:val="0"/>
                <w:sz w:val="19"/>
              </w:rPr>
              <w:t>Lecture seule (tableau de bord, OM, rapports).</w:t>
            </w:r>
          </w:p>
        </w:tc>
      </w:tr>
    </w:tbl>
    <w:p/>
    <w:p>
      <w:r>
        <w:rPr>
          <w:b w:val="0"/>
          <w:i/>
          <w:color w:val="4B5563"/>
        </w:rPr>
        <w:t>Séparation ordonnateur / payeur : le DAF et le DG autorisent, l'agent financier exécute. Ni le DAF ni le DG ne détiennent paiements.generer/confirmer ; une même personne ne peut porter le visa DAF et la validation finale d'un même état.</w:t>
      </w:r>
    </w:p>
    <w:p>
      <w:pPr>
        <w:pStyle w:val="Heading2"/>
      </w:pPr>
      <w:r>
        <w:t>1.4 Contraintes et exigences</w:t>
      </w:r>
    </w:p>
    <w:p>
      <w:pPr>
        <w:pStyle w:val="ListBullet"/>
      </w:pPr>
      <w:r>
        <w:t>Authentification obligatoire par tokens Laravel Sanctum (Bearer).</w:t>
      </w:r>
    </w:p>
    <w:p>
      <w:pPr>
        <w:pStyle w:val="ListBullet"/>
      </w:pPr>
      <w:r>
        <w:t>Autorisation fine par permission (middleware permission:, Gates, Gate::before pour le super admin).</w:t>
      </w:r>
    </w:p>
    <w:p>
      <w:pPr>
        <w:pStyle w:val="ListBullet"/>
      </w:pPr>
      <w:r>
        <w:t>Référence SEMO unique par OM (clé naturelle anti-doublon).</w:t>
      </w:r>
    </w:p>
    <w:p>
      <w:pPr>
        <w:pStyle w:val="ListBullet"/>
      </w:pPr>
      <w:r>
        <w:t>Idempotence des paiements : un versement confirmé — ou porté par un lot confirmé — n'est jamais réinclus dans un nouveau fichier.</w:t>
      </w:r>
    </w:p>
    <w:p>
      <w:pPr>
        <w:pStyle w:val="ListBullet"/>
      </w:pPr>
      <w:r>
        <w:t>Journalisation (audit log) de toutes les actions sensibles.</w:t>
      </w:r>
    </w:p>
    <w:p>
      <w:pPr>
        <w:pStyle w:val="ListBullet"/>
      </w:pPr>
      <w:r>
        <w:t>Formats de fichiers MTN/Moov strictement conformes aux gabarits validés par les opérateurs.</w:t>
      </w:r>
    </w:p>
    <w:p>
      <w:pPr>
        <w:pStyle w:val="ListBullet"/>
      </w:pPr>
      <w:r>
        <w:t>Export PDF des OM conforme aux standards administratifs (en-tête officiel ANaTT).</w:t>
      </w:r>
    </w:p>
    <w:p>
      <w:pPr>
        <w:pStyle w:val="Heading1"/>
      </w:pPr>
      <w:r>
        <w:t>2. Architecture technique</w:t>
      </w:r>
    </w:p>
    <w:p>
      <w:pPr>
        <w:pStyle w:val="Heading2"/>
      </w:pPr>
      <w:r>
        <w:t>2.1 Vue d'ensemble</w:t>
      </w:r>
    </w:p>
    <w:p>
      <w:r>
        <w:rPr>
          <w:b w:val="0"/>
          <w:i w:val="0"/>
        </w:rPr>
        <w:t>Le système suit une architecture en couches découplées : une SPA (frontend) consomme une API REST (backend) protégée par tokens. Cette séparation facilite la maintenance, les tests et le déploiement.</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Architecture : </w:t>
            </w:r>
            <w:r>
              <w:rPr>
                <w:sz w:val="20"/>
              </w:rPr>
              <w:t>SPA Vue 3 (frontend) → API REST Laravel 12 (backend) → base MySQL. Communication HTTP/HTTPS avec tokens Bearer (Sanctum). Files de travaux (queue) pour les générations volumineuses (gros lots de paiement, exports de rapports). Déploiement : WampServer + start-dev.ps1 (dev) ; hébergement cPanel mutualisé (prod, DEPLOY-CPANEL.md).</w:t>
            </w:r>
          </w:p>
        </w:tc>
      </w:tr>
    </w:tbl>
    <w:p/>
    <w:p>
      <w:pPr>
        <w:pStyle w:val="Heading2"/>
      </w:pPr>
      <w:r>
        <w:t>2.2 Stack technologique</w:t>
      </w:r>
    </w:p>
    <w:p>
      <w:pPr>
        <w:pStyle w:val="Heading3"/>
      </w:pPr>
      <w:r>
        <w:t>2.2.1 Frontend (interface utilisateur)</w:t>
      </w:r>
    </w:p>
    <w:tbl>
      <w:tblPr>
        <w:tblStyle w:val="TableGrid"/>
        <w:tblW w:type="auto" w:w="0"/>
        <w:jc w:val="center"/>
        <w:tblLayout w:type="fixed"/>
        <w:tblLook w:firstColumn="1" w:firstRow="1" w:lastColumn="0" w:lastRow="0" w:noHBand="0" w:noVBand="1" w:val="04A0"/>
      </w:tblPr>
      <w:tblGrid>
        <w:gridCol w:w="2608"/>
        <w:gridCol w:w="2268"/>
        <w:gridCol w:w="4649"/>
      </w:tblGrid>
      <w:tr>
        <w:tc>
          <w:tcPr>
            <w:tcW w:type="dxa" w:w="2608"/>
            <w:shd w:val="clear" w:fill="1D9E4F"/>
          </w:tcPr>
          <w:p>
            <w:r/>
            <w:r>
              <w:rPr>
                <w:b/>
                <w:color w:val="FFFFFF"/>
                <w:sz w:val="20"/>
              </w:rPr>
              <w:t>Technologie</w:t>
            </w:r>
          </w:p>
        </w:tc>
        <w:tc>
          <w:tcPr>
            <w:tcW w:type="dxa" w:w="2268"/>
            <w:shd w:val="clear" w:fill="1D9E4F"/>
          </w:tcPr>
          <w:p>
            <w:r/>
            <w:r>
              <w:rPr>
                <w:b/>
                <w:color w:val="FFFFFF"/>
                <w:sz w:val="20"/>
              </w:rPr>
              <w:t>Version</w:t>
            </w:r>
          </w:p>
        </w:tc>
        <w:tc>
          <w:tcPr>
            <w:tcW w:type="dxa" w:w="4649"/>
            <w:shd w:val="clear" w:fill="1D9E4F"/>
          </w:tcPr>
          <w:p>
            <w:r/>
            <w:r>
              <w:rPr>
                <w:b/>
                <w:color w:val="FFFFFF"/>
                <w:sz w:val="20"/>
              </w:rPr>
              <w:t>Usage</w:t>
            </w:r>
          </w:p>
        </w:tc>
      </w:tr>
      <w:tr>
        <w:tc>
          <w:tcPr>
            <w:tcW w:type="dxa" w:w="2608"/>
          </w:tcPr>
          <w:p>
            <w:r/>
            <w:r>
              <w:rPr>
                <w:b w:val="0"/>
                <w:sz w:val="19"/>
              </w:rPr>
              <w:t>Vue.js</w:t>
            </w:r>
          </w:p>
        </w:tc>
        <w:tc>
          <w:tcPr>
            <w:tcW w:type="dxa" w:w="2268"/>
          </w:tcPr>
          <w:p>
            <w:r/>
            <w:r>
              <w:rPr>
                <w:b w:val="0"/>
                <w:sz w:val="19"/>
              </w:rPr>
              <w:t>3.5.44 stable (Composition API)</w:t>
            </w:r>
          </w:p>
        </w:tc>
        <w:tc>
          <w:tcPr>
            <w:tcW w:type="dxa" w:w="4649"/>
          </w:tcPr>
          <w:p>
            <w:r/>
            <w:r>
              <w:rPr>
                <w:b w:val="0"/>
                <w:sz w:val="19"/>
              </w:rPr>
              <w:t>Framework JavaScript principal — version épinglée (sortie de la 3.6 bêta le 29/10/2026) : installer avec npm ci</w:t>
            </w:r>
          </w:p>
        </w:tc>
      </w:tr>
      <w:tr>
        <w:tc>
          <w:tcPr>
            <w:tcW w:type="dxa" w:w="2608"/>
          </w:tcPr>
          <w:p>
            <w:r/>
            <w:r>
              <w:rPr>
                <w:b w:val="0"/>
                <w:sz w:val="19"/>
              </w:rPr>
              <w:t>TypeScript</w:t>
            </w:r>
          </w:p>
        </w:tc>
        <w:tc>
          <w:tcPr>
            <w:tcW w:type="dxa" w:w="2268"/>
          </w:tcPr>
          <w:p>
            <w:r/>
            <w:r>
              <w:rPr>
                <w:b w:val="0"/>
                <w:sz w:val="19"/>
              </w:rPr>
              <w:t>6.x</w:t>
            </w:r>
          </w:p>
        </w:tc>
        <w:tc>
          <w:tcPr>
            <w:tcW w:type="dxa" w:w="4649"/>
          </w:tcPr>
          <w:p>
            <w:r/>
            <w:r>
              <w:rPr>
                <w:b w:val="0"/>
                <w:sz w:val="19"/>
              </w:rPr>
              <w:t>Typage statique strict (vue-tsc)</w:t>
            </w:r>
          </w:p>
        </w:tc>
      </w:tr>
      <w:tr>
        <w:tc>
          <w:tcPr>
            <w:tcW w:type="dxa" w:w="2608"/>
          </w:tcPr>
          <w:p>
            <w:r/>
            <w:r>
              <w:rPr>
                <w:b w:val="0"/>
                <w:sz w:val="19"/>
              </w:rPr>
              <w:t>Vite</w:t>
            </w:r>
          </w:p>
        </w:tc>
        <w:tc>
          <w:tcPr>
            <w:tcW w:type="dxa" w:w="2268"/>
          </w:tcPr>
          <w:p>
            <w:r/>
            <w:r>
              <w:rPr>
                <w:b w:val="0"/>
                <w:sz w:val="19"/>
              </w:rPr>
              <w:t>8.x</w:t>
            </w:r>
          </w:p>
        </w:tc>
        <w:tc>
          <w:tcPr>
            <w:tcW w:type="dxa" w:w="4649"/>
          </w:tcPr>
          <w:p>
            <w:r/>
            <w:r>
              <w:rPr>
                <w:b w:val="0"/>
                <w:sz w:val="19"/>
              </w:rPr>
              <w:t>Build et serveur de développement</w:t>
            </w:r>
          </w:p>
        </w:tc>
      </w:tr>
      <w:tr>
        <w:tc>
          <w:tcPr>
            <w:tcW w:type="dxa" w:w="2608"/>
          </w:tcPr>
          <w:p>
            <w:r/>
            <w:r>
              <w:rPr>
                <w:b w:val="0"/>
                <w:sz w:val="19"/>
              </w:rPr>
              <w:t>Tailwind CSS</w:t>
            </w:r>
          </w:p>
        </w:tc>
        <w:tc>
          <w:tcPr>
            <w:tcW w:type="dxa" w:w="2268"/>
          </w:tcPr>
          <w:p>
            <w:r/>
            <w:r>
              <w:rPr>
                <w:b w:val="0"/>
                <w:sz w:val="19"/>
              </w:rPr>
              <w:t>3.4+</w:t>
            </w:r>
          </w:p>
        </w:tc>
        <w:tc>
          <w:tcPr>
            <w:tcW w:type="dxa" w:w="4649"/>
          </w:tcPr>
          <w:p>
            <w:r/>
            <w:r>
              <w:rPr>
                <w:b w:val="0"/>
                <w:sz w:val="19"/>
              </w:rPr>
              <w:t>Framework CSS utilitaire (charte ANaTT)</w:t>
            </w:r>
          </w:p>
        </w:tc>
      </w:tr>
      <w:tr>
        <w:tc>
          <w:tcPr>
            <w:tcW w:type="dxa" w:w="2608"/>
          </w:tcPr>
          <w:p>
            <w:r/>
            <w:r>
              <w:rPr>
                <w:b w:val="0"/>
                <w:sz w:val="19"/>
              </w:rPr>
              <w:t>Pinia</w:t>
            </w:r>
          </w:p>
        </w:tc>
        <w:tc>
          <w:tcPr>
            <w:tcW w:type="dxa" w:w="2268"/>
          </w:tcPr>
          <w:p>
            <w:r/>
            <w:r>
              <w:rPr>
                <w:b w:val="0"/>
                <w:sz w:val="19"/>
              </w:rPr>
              <w:t>3.x</w:t>
            </w:r>
          </w:p>
        </w:tc>
        <w:tc>
          <w:tcPr>
            <w:tcW w:type="dxa" w:w="4649"/>
          </w:tcPr>
          <w:p>
            <w:r/>
            <w:r>
              <w:rPr>
                <w:b w:val="0"/>
                <w:sz w:val="19"/>
              </w:rPr>
              <w:t>Gestion de l'état global (stores)</w:t>
            </w:r>
          </w:p>
        </w:tc>
      </w:tr>
      <w:tr>
        <w:tc>
          <w:tcPr>
            <w:tcW w:type="dxa" w:w="2608"/>
          </w:tcPr>
          <w:p>
            <w:r/>
            <w:r>
              <w:rPr>
                <w:b w:val="0"/>
                <w:sz w:val="19"/>
              </w:rPr>
              <w:t>Vue Router</w:t>
            </w:r>
          </w:p>
        </w:tc>
        <w:tc>
          <w:tcPr>
            <w:tcW w:type="dxa" w:w="2268"/>
          </w:tcPr>
          <w:p>
            <w:r/>
            <w:r>
              <w:rPr>
                <w:b w:val="0"/>
                <w:sz w:val="19"/>
              </w:rPr>
              <w:t>5.x</w:t>
            </w:r>
          </w:p>
        </w:tc>
        <w:tc>
          <w:tcPr>
            <w:tcW w:type="dxa" w:w="4649"/>
          </w:tcPr>
          <w:p>
            <w:r/>
            <w:r>
              <w:rPr>
                <w:b w:val="0"/>
                <w:sz w:val="19"/>
              </w:rPr>
              <w:t>Navigation SPA + guards d'authentification/permissions</w:t>
            </w:r>
          </w:p>
        </w:tc>
      </w:tr>
      <w:tr>
        <w:tc>
          <w:tcPr>
            <w:tcW w:type="dxa" w:w="2608"/>
          </w:tcPr>
          <w:p>
            <w:r/>
            <w:r>
              <w:rPr>
                <w:b w:val="0"/>
                <w:sz w:val="19"/>
              </w:rPr>
              <w:t>Axios</w:t>
            </w:r>
          </w:p>
        </w:tc>
        <w:tc>
          <w:tcPr>
            <w:tcW w:type="dxa" w:w="2268"/>
          </w:tcPr>
          <w:p>
            <w:r/>
            <w:r>
              <w:rPr>
                <w:b w:val="0"/>
                <w:sz w:val="19"/>
              </w:rPr>
              <w:t>1.x</w:t>
            </w:r>
          </w:p>
        </w:tc>
        <w:tc>
          <w:tcPr>
            <w:tcW w:type="dxa" w:w="4649"/>
          </w:tcPr>
          <w:p>
            <w:r/>
            <w:r>
              <w:rPr>
                <w:b w:val="0"/>
                <w:sz w:val="19"/>
              </w:rPr>
              <w:t>Client HTTP avec intercepteurs (token Bearer)</w:t>
            </w:r>
          </w:p>
        </w:tc>
      </w:tr>
      <w:tr>
        <w:tc>
          <w:tcPr>
            <w:tcW w:type="dxa" w:w="2608"/>
          </w:tcPr>
          <w:p>
            <w:r/>
            <w:r>
              <w:rPr>
                <w:b w:val="0"/>
                <w:sz w:val="19"/>
              </w:rPr>
              <w:t>Chart.js</w:t>
            </w:r>
          </w:p>
        </w:tc>
        <w:tc>
          <w:tcPr>
            <w:tcW w:type="dxa" w:w="2268"/>
          </w:tcPr>
          <w:p>
            <w:r/>
            <w:r>
              <w:rPr>
                <w:b w:val="0"/>
                <w:sz w:val="19"/>
              </w:rPr>
              <w:t>4.x</w:t>
            </w:r>
          </w:p>
        </w:tc>
        <w:tc>
          <w:tcPr>
            <w:tcW w:type="dxa" w:w="4649"/>
          </w:tcPr>
          <w:p>
            <w:r/>
            <w:r>
              <w:rPr>
                <w:b w:val="0"/>
                <w:sz w:val="19"/>
              </w:rPr>
              <w:t>Graphiques du tableau de bord et des rapports</w:t>
            </w:r>
          </w:p>
        </w:tc>
      </w:tr>
      <w:tr>
        <w:tc>
          <w:tcPr>
            <w:tcW w:type="dxa" w:w="2608"/>
          </w:tcPr>
          <w:p>
            <w:r/>
            <w:r>
              <w:rPr>
                <w:b w:val="0"/>
                <w:sz w:val="19"/>
              </w:rPr>
              <w:t>Vitest</w:t>
            </w:r>
          </w:p>
        </w:tc>
        <w:tc>
          <w:tcPr>
            <w:tcW w:type="dxa" w:w="2268"/>
          </w:tcPr>
          <w:p>
            <w:r/>
            <w:r>
              <w:rPr>
                <w:b w:val="0"/>
                <w:sz w:val="19"/>
              </w:rPr>
              <w:t>4.x</w:t>
            </w:r>
          </w:p>
        </w:tc>
        <w:tc>
          <w:tcPr>
            <w:tcW w:type="dxa" w:w="4649"/>
          </w:tcPr>
          <w:p>
            <w:r/>
            <w:r>
              <w:rPr>
                <w:b w:val="0"/>
                <w:sz w:val="19"/>
              </w:rPr>
              <w:t>Tests unitaires et de composants (Vue Test Utils, jsdom)</w:t>
            </w:r>
          </w:p>
        </w:tc>
      </w:tr>
      <w:tr>
        <w:tc>
          <w:tcPr>
            <w:tcW w:type="dxa" w:w="2608"/>
          </w:tcPr>
          <w:p>
            <w:r/>
            <w:r>
              <w:rPr>
                <w:b w:val="0"/>
                <w:sz w:val="19"/>
              </w:rPr>
              <w:t>Playwright</w:t>
            </w:r>
          </w:p>
        </w:tc>
        <w:tc>
          <w:tcPr>
            <w:tcW w:type="dxa" w:w="2268"/>
          </w:tcPr>
          <w:p>
            <w:r/>
            <w:r>
              <w:rPr>
                <w:b w:val="0"/>
                <w:sz w:val="19"/>
              </w:rPr>
              <w:t>1.5x</w:t>
            </w:r>
          </w:p>
        </w:tc>
        <w:tc>
          <w:tcPr>
            <w:tcW w:type="dxa" w:w="4649"/>
          </w:tcPr>
          <w:p>
            <w:r/>
            <w:r>
              <w:rPr>
                <w:b w:val="0"/>
                <w:sz w:val="19"/>
              </w:rPr>
              <w:t>Test e2e du parcours critique (Chromium)</w:t>
            </w:r>
          </w:p>
        </w:tc>
      </w:tr>
    </w:tbl>
    <w:p/>
    <w:p>
      <w:pPr>
        <w:pStyle w:val="Heading3"/>
      </w:pPr>
      <w:r>
        <w:t>2.2.2 Backend (API et logique métier)</w:t>
      </w:r>
    </w:p>
    <w:tbl>
      <w:tblPr>
        <w:tblStyle w:val="TableGrid"/>
        <w:tblW w:type="auto" w:w="0"/>
        <w:jc w:val="center"/>
        <w:tblLayout w:type="fixed"/>
        <w:tblLook w:firstColumn="1" w:firstRow="1" w:lastColumn="0" w:lastRow="0" w:noHBand="0" w:noVBand="1" w:val="04A0"/>
      </w:tblPr>
      <w:tblGrid>
        <w:gridCol w:w="3402"/>
        <w:gridCol w:w="1928"/>
        <w:gridCol w:w="4195"/>
      </w:tblGrid>
      <w:tr>
        <w:tc>
          <w:tcPr>
            <w:tcW w:type="dxa" w:w="3402"/>
            <w:shd w:val="clear" w:fill="1D9E4F"/>
          </w:tcPr>
          <w:p>
            <w:r/>
            <w:r>
              <w:rPr>
                <w:b/>
                <w:color w:val="FFFFFF"/>
                <w:sz w:val="20"/>
              </w:rPr>
              <w:t>Technologie</w:t>
            </w:r>
          </w:p>
        </w:tc>
        <w:tc>
          <w:tcPr>
            <w:tcW w:type="dxa" w:w="1928"/>
            <w:shd w:val="clear" w:fill="1D9E4F"/>
          </w:tcPr>
          <w:p>
            <w:r/>
            <w:r>
              <w:rPr>
                <w:b/>
                <w:color w:val="FFFFFF"/>
                <w:sz w:val="20"/>
              </w:rPr>
              <w:t>Version</w:t>
            </w:r>
          </w:p>
        </w:tc>
        <w:tc>
          <w:tcPr>
            <w:tcW w:type="dxa" w:w="4195"/>
            <w:shd w:val="clear" w:fill="1D9E4F"/>
          </w:tcPr>
          <w:p>
            <w:r/>
            <w:r>
              <w:rPr>
                <w:b/>
                <w:color w:val="FFFFFF"/>
                <w:sz w:val="20"/>
              </w:rPr>
              <w:t>Usage</w:t>
            </w:r>
          </w:p>
        </w:tc>
      </w:tr>
      <w:tr>
        <w:tc>
          <w:tcPr>
            <w:tcW w:type="dxa" w:w="3402"/>
          </w:tcPr>
          <w:p>
            <w:r/>
            <w:r>
              <w:rPr>
                <w:b w:val="0"/>
                <w:sz w:val="19"/>
              </w:rPr>
              <w:t>Laravel</w:t>
            </w:r>
          </w:p>
        </w:tc>
        <w:tc>
          <w:tcPr>
            <w:tcW w:type="dxa" w:w="1928"/>
          </w:tcPr>
          <w:p>
            <w:r/>
            <w:r>
              <w:rPr>
                <w:b w:val="0"/>
                <w:sz w:val="19"/>
              </w:rPr>
              <w:t>12.x</w:t>
            </w:r>
          </w:p>
        </w:tc>
        <w:tc>
          <w:tcPr>
            <w:tcW w:type="dxa" w:w="4195"/>
          </w:tcPr>
          <w:p>
            <w:r/>
            <w:r>
              <w:rPr>
                <w:b w:val="0"/>
                <w:sz w:val="19"/>
              </w:rPr>
              <w:t>Framework PHP principal</w:t>
            </w:r>
          </w:p>
        </w:tc>
      </w:tr>
      <w:tr>
        <w:tc>
          <w:tcPr>
            <w:tcW w:type="dxa" w:w="3402"/>
          </w:tcPr>
          <w:p>
            <w:r/>
            <w:r>
              <w:rPr>
                <w:b w:val="0"/>
                <w:sz w:val="19"/>
              </w:rPr>
              <w:t>PHP</w:t>
            </w:r>
          </w:p>
        </w:tc>
        <w:tc>
          <w:tcPr>
            <w:tcW w:type="dxa" w:w="1928"/>
          </w:tcPr>
          <w:p>
            <w:r/>
            <w:r>
              <w:rPr>
                <w:b w:val="0"/>
                <w:sz w:val="19"/>
              </w:rPr>
              <w:t>8.4.x, 64 bits</w:t>
            </w:r>
          </w:p>
        </w:tc>
        <w:tc>
          <w:tcPr>
            <w:tcW w:type="dxa" w:w="4195"/>
          </w:tcPr>
          <w:p>
            <w:r/>
            <w:r>
              <w:rPr>
                <w:b w:val="0"/>
                <w:sz w:val="19"/>
              </w:rPr>
              <w:t>Langage backend : minimum imposé par composer.lock (Symfony 8, activitylog) ; 8.5 non pris en charge (PhpSpreadsheet déclare &lt; 8.5.0)</w:t>
            </w:r>
          </w:p>
        </w:tc>
      </w:tr>
      <w:tr>
        <w:tc>
          <w:tcPr>
            <w:tcW w:type="dxa" w:w="3402"/>
          </w:tcPr>
          <w:p>
            <w:r/>
            <w:r>
              <w:rPr>
                <w:b w:val="0"/>
                <w:sz w:val="19"/>
              </w:rPr>
              <w:t>Laravel Sanctum</w:t>
            </w:r>
          </w:p>
        </w:tc>
        <w:tc>
          <w:tcPr>
            <w:tcW w:type="dxa" w:w="1928"/>
          </w:tcPr>
          <w:p>
            <w:r/>
            <w:r>
              <w:rPr>
                <w:b w:val="0"/>
                <w:sz w:val="19"/>
              </w:rPr>
              <w:t>4.x</w:t>
            </w:r>
          </w:p>
        </w:tc>
        <w:tc>
          <w:tcPr>
            <w:tcW w:type="dxa" w:w="4195"/>
          </w:tcPr>
          <w:p>
            <w:r/>
            <w:r>
              <w:rPr>
                <w:b w:val="0"/>
                <w:sz w:val="19"/>
              </w:rPr>
              <w:t>Authentification API par tokens</w:t>
            </w:r>
          </w:p>
        </w:tc>
      </w:tr>
      <w:tr>
        <w:tc>
          <w:tcPr>
            <w:tcW w:type="dxa" w:w="3402"/>
          </w:tcPr>
          <w:p>
            <w:r/>
            <w:r>
              <w:rPr>
                <w:b w:val="0"/>
                <w:sz w:val="19"/>
              </w:rPr>
              <w:t>MySQL</w:t>
            </w:r>
          </w:p>
        </w:tc>
        <w:tc>
          <w:tcPr>
            <w:tcW w:type="dxa" w:w="1928"/>
          </w:tcPr>
          <w:p>
            <w:r/>
            <w:r>
              <w:rPr>
                <w:b w:val="0"/>
                <w:sz w:val="19"/>
              </w:rPr>
              <w:t>8.0</w:t>
            </w:r>
          </w:p>
        </w:tc>
        <w:tc>
          <w:tcPr>
            <w:tcW w:type="dxa" w:w="4195"/>
          </w:tcPr>
          <w:p>
            <w:r/>
            <w:r>
              <w:rPr>
                <w:b w:val="0"/>
                <w:sz w:val="19"/>
              </w:rPr>
              <w:t>Base de données (SQLite en tests) ; horodatages à l'heure du Bénin (Africa/Porto-Novo), API en UTC</w:t>
            </w:r>
          </w:p>
        </w:tc>
      </w:tr>
      <w:tr>
        <w:tc>
          <w:tcPr>
            <w:tcW w:type="dxa" w:w="3402"/>
          </w:tcPr>
          <w:p>
            <w:r/>
            <w:r>
              <w:rPr>
                <w:b w:val="0"/>
                <w:sz w:val="19"/>
              </w:rPr>
              <w:t>Redis</w:t>
            </w:r>
          </w:p>
        </w:tc>
        <w:tc>
          <w:tcPr>
            <w:tcW w:type="dxa" w:w="1928"/>
          </w:tcPr>
          <w:p>
            <w:r/>
            <w:r>
              <w:rPr>
                <w:b w:val="0"/>
                <w:sz w:val="19"/>
              </w:rPr>
              <w:t>7.x (optionnel)</w:t>
            </w:r>
          </w:p>
        </w:tc>
        <w:tc>
          <w:tcPr>
            <w:tcW w:type="dxa" w:w="4195"/>
          </w:tcPr>
          <w:p>
            <w:r/>
            <w:r>
              <w:rPr>
                <w:b w:val="0"/>
                <w:sz w:val="19"/>
              </w:rPr>
              <w:t>Cache et files (driver « database » utilisable sans Redis)</w:t>
            </w:r>
          </w:p>
        </w:tc>
      </w:tr>
      <w:tr>
        <w:tc>
          <w:tcPr>
            <w:tcW w:type="dxa" w:w="3402"/>
          </w:tcPr>
          <w:p>
            <w:r/>
            <w:r>
              <w:rPr>
                <w:b w:val="0"/>
                <w:sz w:val="19"/>
              </w:rPr>
              <w:t>DomPDF (barryvdh)</w:t>
            </w:r>
          </w:p>
        </w:tc>
        <w:tc>
          <w:tcPr>
            <w:tcW w:type="dxa" w:w="1928"/>
          </w:tcPr>
          <w:p>
            <w:r/>
            <w:r>
              <w:rPr>
                <w:b w:val="0"/>
                <w:sz w:val="19"/>
              </w:rPr>
              <w:t>3.1</w:t>
            </w:r>
          </w:p>
        </w:tc>
        <w:tc>
          <w:tcPr>
            <w:tcW w:type="dxa" w:w="4195"/>
          </w:tcPr>
          <w:p>
            <w:r/>
            <w:r>
              <w:rPr>
                <w:b w:val="0"/>
                <w:sz w:val="19"/>
              </w:rPr>
              <w:t>Génération des PDF (OM, états, document de retenue, rapports)</w:t>
            </w:r>
          </w:p>
        </w:tc>
      </w:tr>
      <w:tr>
        <w:tc>
          <w:tcPr>
            <w:tcW w:type="dxa" w:w="3402"/>
          </w:tcPr>
          <w:p>
            <w:r/>
            <w:r>
              <w:rPr>
                <w:b w:val="0"/>
                <w:sz w:val="19"/>
              </w:rPr>
              <w:t>Maatwebsite Excel / PhpSpreadsheet</w:t>
            </w:r>
          </w:p>
        </w:tc>
        <w:tc>
          <w:tcPr>
            <w:tcW w:type="dxa" w:w="1928"/>
          </w:tcPr>
          <w:p>
            <w:r/>
            <w:r>
              <w:rPr>
                <w:b w:val="0"/>
                <w:sz w:val="19"/>
              </w:rPr>
              <w:t>3.1</w:t>
            </w:r>
          </w:p>
        </w:tc>
        <w:tc>
          <w:tcPr>
            <w:tcW w:type="dxa" w:w="4195"/>
          </w:tcPr>
          <w:p>
            <w:r/>
            <w:r>
              <w:rPr>
                <w:b w:val="0"/>
                <w:sz w:val="19"/>
              </w:rPr>
              <w:t>Import agents et génération .xlsx Moov / exports</w:t>
            </w:r>
          </w:p>
        </w:tc>
      </w:tr>
      <w:tr>
        <w:tc>
          <w:tcPr>
            <w:tcW w:type="dxa" w:w="3402"/>
          </w:tcPr>
          <w:p>
            <w:r/>
            <w:r>
              <w:rPr>
                <w:b w:val="0"/>
                <w:sz w:val="19"/>
              </w:rPr>
              <w:t>Pest PHP</w:t>
            </w:r>
          </w:p>
        </w:tc>
        <w:tc>
          <w:tcPr>
            <w:tcW w:type="dxa" w:w="1928"/>
          </w:tcPr>
          <w:p>
            <w:r/>
            <w:r>
              <w:rPr>
                <w:b w:val="0"/>
                <w:sz w:val="19"/>
              </w:rPr>
              <w:t>3.x</w:t>
            </w:r>
          </w:p>
        </w:tc>
        <w:tc>
          <w:tcPr>
            <w:tcW w:type="dxa" w:w="4195"/>
          </w:tcPr>
          <w:p>
            <w:r/>
            <w:r>
              <w:rPr>
                <w:b w:val="0"/>
                <w:sz w:val="19"/>
              </w:rPr>
              <w:t>Tests unitaires et Feature (PHPUnit 11)</w:t>
            </w:r>
          </w:p>
        </w:tc>
      </w:tr>
    </w:tbl>
    <w:p/>
    <w:p>
      <w:pPr>
        <w:pStyle w:val="Heading2"/>
      </w:pPr>
      <w:r>
        <w:t>2.3 Structure du projet</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anatt-ordre-mission/</w:t>
            </w:r>
          </w:p>
          <w:p>
            <w:r>
              <w:rPr>
                <w:rFonts w:ascii="Consolas" w:hAnsi="Consolas"/>
                <w:color w:val="FFFFFF"/>
                <w:sz w:val="18"/>
              </w:rPr>
              <w:t xml:space="preserve">  frontend/                Application Vue 3 (42 écrans)</w:t>
            </w:r>
          </w:p>
          <w:p>
            <w:r>
              <w:rPr>
                <w:rFonts w:ascii="Consolas" w:hAnsi="Consolas"/>
                <w:color w:val="FFFFFF"/>
                <w:sz w:val="18"/>
              </w:rPr>
              <w:t xml:space="preserve">    src/views/             Pages par module (auth/, agents/, missions/, paiements/...)</w:t>
            </w:r>
          </w:p>
          <w:p>
            <w:r>
              <w:rPr>
                <w:rFonts w:ascii="Consolas" w:hAnsi="Consolas"/>
                <w:color w:val="FFFFFF"/>
                <w:sz w:val="18"/>
              </w:rPr>
              <w:t xml:space="preserve">    src/components/shared/  Composants réutilisables (AppTable, AppModal, AppBadge...)</w:t>
            </w:r>
          </w:p>
          <w:p>
            <w:r>
              <w:rPr>
                <w:rFonts w:ascii="Consolas" w:hAnsi="Consolas"/>
                <w:color w:val="FFFFFF"/>
                <w:sz w:val="18"/>
              </w:rPr>
              <w:t xml:space="preserve">    src/stores/            Pinia (auth, notifications, ordres-mission)</w:t>
            </w:r>
          </w:p>
          <w:p>
            <w:r>
              <w:rPr>
                <w:rFonts w:ascii="Consolas" w:hAnsi="Consolas"/>
                <w:color w:val="FFFFFF"/>
                <w:sz w:val="18"/>
              </w:rPr>
              <w:t xml:space="preserve">    src/composables/       Logique réutilisable (useApi, useAuth, usePartAvance, useSearch, useToast)</w:t>
            </w:r>
          </w:p>
          <w:p>
            <w:r>
              <w:rPr>
                <w:rFonts w:ascii="Consolas" w:hAnsi="Consolas"/>
                <w:color w:val="FFFFFF"/>
                <w:sz w:val="18"/>
              </w:rPr>
              <w:t xml:space="preserve">    src/utils/             permissions (miroir RBAC : guards + v-permission), benin, exercice,</w:t>
            </w:r>
          </w:p>
          <w:p>
            <w:r>
              <w:rPr>
                <w:rFonts w:ascii="Consolas" w:hAnsi="Consolas"/>
                <w:color w:val="FFFFFF"/>
                <w:sz w:val="18"/>
              </w:rPr>
              <w:t xml:space="preserve">                           repartition (libellés avance / reliquat, miroir de PdfGenerator)</w:t>
            </w:r>
          </w:p>
          <w:p>
            <w:r>
              <w:rPr>
                <w:rFonts w:ascii="Consolas" w:hAnsi="Consolas"/>
                <w:color w:val="FFFFFF"/>
                <w:sz w:val="18"/>
              </w:rPr>
              <w:t xml:space="preserve">  backend/                 API Laravel 12</w:t>
            </w:r>
          </w:p>
          <w:p>
            <w:r>
              <w:rPr>
                <w:rFonts w:ascii="Consolas" w:hAnsi="Consolas"/>
                <w:color w:val="FFFFFF"/>
                <w:sz w:val="18"/>
              </w:rPr>
              <w:t xml:space="preserve">    app/Http/Controllers/Api/  Contrôleurs REST</w:t>
            </w:r>
          </w:p>
          <w:p>
            <w:r>
              <w:rPr>
                <w:rFonts w:ascii="Consolas" w:hAnsi="Consolas"/>
                <w:color w:val="FFFFFF"/>
                <w:sz w:val="18"/>
              </w:rPr>
              <w:t xml:space="preserve">    app/Http/Requests/     Form Requests (validation des écritures)</w:t>
            </w:r>
          </w:p>
          <w:p>
            <w:r>
              <w:rPr>
                <w:rFonts w:ascii="Consolas" w:hAnsi="Consolas"/>
                <w:color w:val="FFFFFF"/>
                <w:sz w:val="18"/>
              </w:rPr>
              <w:t xml:space="preserve">    app/Models/            Modèles Eloquent</w:t>
            </w:r>
          </w:p>
          <w:p>
            <w:r>
              <w:rPr>
                <w:rFonts w:ascii="Consolas" w:hAnsi="Consolas"/>
                <w:color w:val="FFFFFF"/>
                <w:sz w:val="18"/>
              </w:rPr>
              <w:t xml:space="preserve">    app/Services/          Logique métier (calcul, lots, barème, rapports, audit)</w:t>
            </w:r>
          </w:p>
          <w:p>
            <w:r>
              <w:rPr>
                <w:rFonts w:ascii="Consolas" w:hAnsi="Consolas"/>
                <w:color w:val="FFFFFF"/>
                <w:sz w:val="18"/>
              </w:rPr>
              <w:t xml:space="preserve">    app/Services/Paiement/  Générateurs MTN (.txt) et Moov (.xlsx)</w:t>
            </w:r>
          </w:p>
          <w:p>
            <w:r>
              <w:rPr>
                <w:rFonts w:ascii="Consolas" w:hAnsi="Consolas"/>
                <w:color w:val="FFFFFF"/>
                <w:sz w:val="18"/>
              </w:rPr>
              <w:t xml:space="preserve">    app/Support/Permissions  Source unique des clés de permission (RBAC)</w:t>
            </w:r>
          </w:p>
          <w:p>
            <w:r>
              <w:rPr>
                <w:rFonts w:ascii="Consolas" w:hAnsi="Consolas"/>
                <w:color w:val="FFFFFF"/>
                <w:sz w:val="18"/>
              </w:rPr>
              <w:t xml:space="preserve">    app/Support/PermissionRepository  Matrice effective (table role_permissions, cache)</w:t>
            </w:r>
          </w:p>
          <w:p>
            <w:r>
              <w:rPr>
                <w:rFonts w:ascii="Consolas" w:hAnsi="Consolas"/>
                <w:color w:val="FFFFFF"/>
                <w:sz w:val="18"/>
              </w:rPr>
              <w:t xml:space="preserve">    app/Console/Commands/  db:backup / db:restore</w:t>
            </w:r>
          </w:p>
          <w:p>
            <w:r>
              <w:rPr>
                <w:rFonts w:ascii="Consolas" w:hAnsi="Consolas"/>
                <w:color w:val="FFFFFF"/>
                <w:sz w:val="18"/>
              </w:rPr>
              <w:t xml:space="preserve">    app/Jobs/              Tâches asynchrones (gros lots, exports de rapports, e-mails)</w:t>
            </w:r>
          </w:p>
          <w:p>
            <w:r>
              <w:rPr>
                <w:rFonts w:ascii="Consolas" w:hAnsi="Consolas"/>
                <w:color w:val="FFFFFF"/>
                <w:sz w:val="18"/>
              </w:rPr>
              <w:t xml:space="preserve">    docs/openapi.yaml      Référence API (verrouillée par tests/Feature/OpenApiTest.php)</w:t>
            </w:r>
          </w:p>
          <w:p>
            <w:r>
              <w:rPr>
                <w:rFonts w:ascii="Consolas" w:hAnsi="Consolas"/>
                <w:color w:val="FFFFFF"/>
                <w:sz w:val="18"/>
              </w:rPr>
              <w:t xml:space="preserve">  docs/                    Documentation (.docx + scripts générateurs)</w:t>
            </w:r>
          </w:p>
          <w:p>
            <w:r>
              <w:rPr>
                <w:rFonts w:ascii="Consolas" w:hAnsi="Consolas"/>
                <w:color w:val="FFFFFF"/>
                <w:sz w:val="18"/>
              </w:rPr>
              <w:t xml:space="preserve">    00_galerie_index.html…  Galerie des écrans réels (captures docs/ecrans/, generer_maquettes.py)</w:t>
            </w:r>
          </w:p>
          <w:p>
            <w:r>
              <w:rPr>
                <w:rFonts w:ascii="Consolas" w:hAnsi="Consolas"/>
                <w:color w:val="FFFFFF"/>
                <w:sz w:val="18"/>
              </w:rPr>
              <w:t xml:space="preserve">  CLAUDE.md                Contexte projet</w:t>
            </w:r>
          </w:p>
        </w:tc>
      </w:tr>
    </w:tbl>
    <w:p/>
    <w:p>
      <w:pPr>
        <w:pStyle w:val="Heading2"/>
      </w:pPr>
      <w:r>
        <w:t>2.4 Modèles de données</w:t>
      </w:r>
    </w:p>
    <w:p>
      <w:pPr>
        <w:pStyle w:val="Heading3"/>
      </w:pPr>
      <w:r>
        <w:t>2.4.1 Entités principales</w:t>
      </w:r>
    </w:p>
    <w:tbl>
      <w:tblPr>
        <w:tblStyle w:val="TableGrid"/>
        <w:tblW w:type="auto" w:w="0"/>
        <w:jc w:val="center"/>
        <w:tblLayout w:type="fixed"/>
        <w:tblLook w:firstColumn="1" w:firstRow="1" w:lastColumn="0" w:lastRow="0" w:noHBand="0" w:noVBand="1" w:val="04A0"/>
      </w:tblPr>
      <w:tblGrid>
        <w:gridCol w:w="2041"/>
        <w:gridCol w:w="2268"/>
        <w:gridCol w:w="5216"/>
      </w:tblGrid>
      <w:tr>
        <w:tc>
          <w:tcPr>
            <w:tcW w:type="dxa" w:w="2041"/>
            <w:shd w:val="clear" w:fill="1D9E4F"/>
          </w:tcPr>
          <w:p>
            <w:r/>
            <w:r>
              <w:rPr>
                <w:b/>
                <w:color w:val="FFFFFF"/>
                <w:sz w:val="20"/>
              </w:rPr>
              <w:t>Entité</w:t>
            </w:r>
          </w:p>
        </w:tc>
        <w:tc>
          <w:tcPr>
            <w:tcW w:type="dxa" w:w="2268"/>
            <w:shd w:val="clear" w:fill="1D9E4F"/>
          </w:tcPr>
          <w:p>
            <w:r/>
            <w:r>
              <w:rPr>
                <w:b/>
                <w:color w:val="FFFFFF"/>
                <w:sz w:val="20"/>
              </w:rPr>
              <w:t>Table SQL</w:t>
            </w:r>
          </w:p>
        </w:tc>
        <w:tc>
          <w:tcPr>
            <w:tcW w:type="dxa" w:w="5216"/>
            <w:shd w:val="clear" w:fill="1D9E4F"/>
          </w:tcPr>
          <w:p>
            <w:r/>
            <w:r>
              <w:rPr>
                <w:b/>
                <w:color w:val="FFFFFF"/>
                <w:sz w:val="20"/>
              </w:rPr>
              <w:t>Description</w:t>
            </w:r>
          </w:p>
        </w:tc>
      </w:tr>
      <w:tr>
        <w:tc>
          <w:tcPr>
            <w:tcW w:type="dxa" w:w="2041"/>
          </w:tcPr>
          <w:p>
            <w:r/>
            <w:r>
              <w:rPr>
                <w:b w:val="0"/>
                <w:sz w:val="19"/>
              </w:rPr>
              <w:t>User</w:t>
            </w:r>
          </w:p>
        </w:tc>
        <w:tc>
          <w:tcPr>
            <w:tcW w:type="dxa" w:w="2268"/>
          </w:tcPr>
          <w:p>
            <w:r/>
            <w:r>
              <w:rPr>
                <w:b w:val="0"/>
                <w:sz w:val="19"/>
              </w:rPr>
              <w:t>users</w:t>
            </w:r>
          </w:p>
        </w:tc>
        <w:tc>
          <w:tcPr>
            <w:tcW w:type="dxa" w:w="5216"/>
          </w:tcPr>
          <w:p>
            <w:r/>
            <w:r>
              <w:rPr>
                <w:b w:val="0"/>
                <w:sz w:val="19"/>
              </w:rPr>
              <w:t>Compte de connexion (email, password, rôle, actif).</w:t>
            </w:r>
          </w:p>
        </w:tc>
      </w:tr>
      <w:tr>
        <w:tc>
          <w:tcPr>
            <w:tcW w:type="dxa" w:w="2041"/>
          </w:tcPr>
          <w:p>
            <w:r/>
            <w:r>
              <w:rPr>
                <w:b w:val="0"/>
                <w:sz w:val="19"/>
              </w:rPr>
              <w:t>Agent</w:t>
            </w:r>
          </w:p>
        </w:tc>
        <w:tc>
          <w:tcPr>
            <w:tcW w:type="dxa" w:w="2268"/>
          </w:tcPr>
          <w:p>
            <w:r/>
            <w:r>
              <w:rPr>
                <w:b w:val="0"/>
                <w:sz w:val="19"/>
              </w:rPr>
              <w:t>agents</w:t>
            </w:r>
          </w:p>
        </w:tc>
        <w:tc>
          <w:tcPr>
            <w:tcW w:type="dxa" w:w="5216"/>
          </w:tcPr>
          <w:p>
            <w:r/>
            <w:r>
              <w:rPr>
                <w:b w:val="0"/>
                <w:sz w:val="19"/>
              </w:rPr>
              <w:t>Bénéficiaire (matricule, catégorie, téléphone, opérateur MM).</w:t>
            </w:r>
          </w:p>
        </w:tc>
      </w:tr>
      <w:tr>
        <w:tc>
          <w:tcPr>
            <w:tcW w:type="dxa" w:w="2041"/>
          </w:tcPr>
          <w:p>
            <w:r/>
            <w:r>
              <w:rPr>
                <w:b w:val="0"/>
                <w:sz w:val="19"/>
              </w:rPr>
              <w:t>Mission</w:t>
            </w:r>
          </w:p>
        </w:tc>
        <w:tc>
          <w:tcPr>
            <w:tcW w:type="dxa" w:w="2268"/>
          </w:tcPr>
          <w:p>
            <w:r/>
            <w:r>
              <w:rPr>
                <w:b w:val="0"/>
                <w:sz w:val="19"/>
              </w:rPr>
              <w:t>missions</w:t>
            </w:r>
          </w:p>
        </w:tc>
        <w:tc>
          <w:tcPr>
            <w:tcW w:type="dxa" w:w="5216"/>
          </w:tcPr>
          <w:p>
            <w:r/>
            <w:r>
              <w:rPr>
                <w:b w:val="0"/>
                <w:sz w:val="19"/>
              </w:rPr>
              <w:t>Événement regroupant N ordres de mission.</w:t>
            </w:r>
          </w:p>
        </w:tc>
      </w:tr>
      <w:tr>
        <w:tc>
          <w:tcPr>
            <w:tcW w:type="dxa" w:w="2041"/>
          </w:tcPr>
          <w:p>
            <w:r/>
            <w:r>
              <w:rPr>
                <w:b w:val="0"/>
                <w:sz w:val="19"/>
              </w:rPr>
              <w:t>OrdreMission</w:t>
            </w:r>
          </w:p>
        </w:tc>
        <w:tc>
          <w:tcPr>
            <w:tcW w:type="dxa" w:w="2268"/>
          </w:tcPr>
          <w:p>
            <w:r/>
            <w:r>
              <w:rPr>
                <w:b w:val="0"/>
                <w:sz w:val="19"/>
              </w:rPr>
              <w:t>ordre_missions</w:t>
            </w:r>
          </w:p>
        </w:tc>
        <w:tc>
          <w:tcPr>
            <w:tcW w:type="dxa" w:w="5216"/>
          </w:tcPr>
          <w:p>
            <w:r/>
            <w:r>
              <w:rPr>
                <w:b w:val="0"/>
                <w:sz w:val="19"/>
              </w:rPr>
              <w:t>1 enregistrement = 1 bénéficiaire (réf. SEMO unique).</w:t>
            </w:r>
          </w:p>
        </w:tc>
      </w:tr>
      <w:tr>
        <w:tc>
          <w:tcPr>
            <w:tcW w:type="dxa" w:w="2041"/>
          </w:tcPr>
          <w:p>
            <w:r/>
            <w:r>
              <w:rPr>
                <w:b w:val="0"/>
                <w:sz w:val="19"/>
              </w:rPr>
              <w:t>OmAmendement</w:t>
            </w:r>
          </w:p>
        </w:tc>
        <w:tc>
          <w:tcPr>
            <w:tcW w:type="dxa" w:w="2268"/>
          </w:tcPr>
          <w:p>
            <w:r/>
            <w:r>
              <w:rPr>
                <w:b w:val="0"/>
                <w:sz w:val="19"/>
              </w:rPr>
              <w:t>om_amendements</w:t>
            </w:r>
          </w:p>
        </w:tc>
        <w:tc>
          <w:tcPr>
            <w:tcW w:type="dxa" w:w="5216"/>
          </w:tcPr>
          <w:p>
            <w:r/>
            <w:r>
              <w:rPr>
                <w:b w:val="0"/>
                <w:sz w:val="19"/>
              </w:rPr>
              <w:t>Journal des amendements d'un OM (jours et montants avant / après, motif, auteur).</w:t>
            </w:r>
          </w:p>
        </w:tc>
      </w:tr>
      <w:tr>
        <w:tc>
          <w:tcPr>
            <w:tcW w:type="dxa" w:w="2041"/>
          </w:tcPr>
          <w:p>
            <w:r/>
            <w:r>
              <w:rPr>
                <w:b w:val="0"/>
                <w:sz w:val="19"/>
              </w:rPr>
              <w:t>EtatPaiement</w:t>
            </w:r>
          </w:p>
        </w:tc>
        <w:tc>
          <w:tcPr>
            <w:tcW w:type="dxa" w:w="2268"/>
          </w:tcPr>
          <w:p>
            <w:r/>
            <w:r>
              <w:rPr>
                <w:b w:val="0"/>
                <w:sz w:val="19"/>
              </w:rPr>
              <w:t>etats_paiement</w:t>
            </w:r>
          </w:p>
        </w:tc>
        <w:tc>
          <w:tcPr>
            <w:tcW w:type="dxa" w:w="5216"/>
          </w:tcPr>
          <w:p>
            <w:r/>
            <w:r>
              <w:rPr>
                <w:b w:val="0"/>
                <w:sz w:val="19"/>
              </w:rPr>
              <w:t>État d'une TRANCHE de mission (unicité mission × tranche AVANCE / RELIQUAT) : circuit, lignes figées, signatures.</w:t>
            </w:r>
          </w:p>
        </w:tc>
      </w:tr>
      <w:tr>
        <w:tc>
          <w:tcPr>
            <w:tcW w:type="dxa" w:w="2041"/>
          </w:tcPr>
          <w:p>
            <w:r/>
            <w:r>
              <w:rPr>
                <w:b w:val="0"/>
                <w:sz w:val="19"/>
              </w:rPr>
              <w:t>Versement</w:t>
            </w:r>
          </w:p>
        </w:tc>
        <w:tc>
          <w:tcPr>
            <w:tcW w:type="dxa" w:w="2268"/>
          </w:tcPr>
          <w:p>
            <w:r/>
            <w:r>
              <w:rPr>
                <w:b w:val="0"/>
                <w:sz w:val="19"/>
              </w:rPr>
              <w:t>versements</w:t>
            </w:r>
          </w:p>
        </w:tc>
        <w:tc>
          <w:tcPr>
            <w:tcW w:type="dxa" w:w="5216"/>
          </w:tcPr>
          <w:p>
            <w:r/>
            <w:r>
              <w:rPr>
                <w:b w:val="0"/>
                <w:sz w:val="19"/>
              </w:rPr>
              <w:t>Une tranche (AVANCE / RELIQUAT) d'un OM ; montant SIGNÉ (trop-perçu négatif).</w:t>
            </w:r>
          </w:p>
        </w:tc>
      </w:tr>
      <w:tr>
        <w:tc>
          <w:tcPr>
            <w:tcW w:type="dxa" w:w="2041"/>
          </w:tcPr>
          <w:p>
            <w:r/>
            <w:r>
              <w:rPr>
                <w:b w:val="0"/>
                <w:sz w:val="19"/>
              </w:rPr>
              <w:t>LotPaiement</w:t>
            </w:r>
          </w:p>
        </w:tc>
        <w:tc>
          <w:tcPr>
            <w:tcW w:type="dxa" w:w="2268"/>
          </w:tcPr>
          <w:p>
            <w:r/>
            <w:r>
              <w:rPr>
                <w:b w:val="0"/>
                <w:sz w:val="19"/>
              </w:rPr>
              <w:t>lots_paiement</w:t>
            </w:r>
          </w:p>
        </w:tc>
        <w:tc>
          <w:tcPr>
            <w:tcW w:type="dxa" w:w="5216"/>
          </w:tcPr>
          <w:p>
            <w:r/>
            <w:r>
              <w:rPr>
                <w:b w:val="0"/>
                <w:sz w:val="19"/>
              </w:rPr>
              <w:t>1 mission × 1 tranche × 1 opérateur × 1 séquence = 1 fichier (séquence ≥ 2 : lot complémentaire).</w:t>
            </w:r>
          </w:p>
        </w:tc>
      </w:tr>
      <w:tr>
        <w:tc>
          <w:tcPr>
            <w:tcW w:type="dxa" w:w="2041"/>
          </w:tcPr>
          <w:p>
            <w:r/>
            <w:r>
              <w:rPr>
                <w:b w:val="0"/>
                <w:sz w:val="19"/>
              </w:rPr>
              <w:t>Bareme</w:t>
            </w:r>
          </w:p>
        </w:tc>
        <w:tc>
          <w:tcPr>
            <w:tcW w:type="dxa" w:w="2268"/>
          </w:tcPr>
          <w:p>
            <w:r/>
            <w:r>
              <w:rPr>
                <w:b w:val="0"/>
                <w:sz w:val="19"/>
              </w:rPr>
              <w:t>baremes</w:t>
            </w:r>
          </w:p>
        </w:tc>
        <w:tc>
          <w:tcPr>
            <w:tcW w:type="dxa" w:w="5216"/>
          </w:tcPr>
          <w:p>
            <w:r/>
            <w:r>
              <w:rPr>
                <w:b w:val="0"/>
                <w:sz w:val="19"/>
              </w:rPr>
              <w:t>Taux journalier par catégorie × zone × type.</w:t>
            </w:r>
          </w:p>
        </w:tc>
      </w:tr>
      <w:tr>
        <w:tc>
          <w:tcPr>
            <w:tcW w:type="dxa" w:w="2041"/>
          </w:tcPr>
          <w:p>
            <w:r/>
            <w:r>
              <w:rPr>
                <w:b w:val="0"/>
                <w:sz w:val="19"/>
              </w:rPr>
              <w:t>ZoneGeographique</w:t>
            </w:r>
          </w:p>
        </w:tc>
        <w:tc>
          <w:tcPr>
            <w:tcW w:type="dxa" w:w="2268"/>
          </w:tcPr>
          <w:p>
            <w:r/>
            <w:r>
              <w:rPr>
                <w:b w:val="0"/>
                <w:sz w:val="19"/>
              </w:rPr>
              <w:t>zones_geographiques</w:t>
            </w:r>
          </w:p>
        </w:tc>
        <w:tc>
          <w:tcPr>
            <w:tcW w:type="dxa" w:w="5216"/>
          </w:tcPr>
          <w:p>
            <w:r/>
            <w:r>
              <w:rPr>
                <w:b w:val="0"/>
                <w:sz w:val="19"/>
              </w:rPr>
              <w:t>Référentiel des 4 zones (intérieur / extérieur).</w:t>
            </w:r>
          </w:p>
        </w:tc>
      </w:tr>
      <w:tr>
        <w:tc>
          <w:tcPr>
            <w:tcW w:type="dxa" w:w="2041"/>
          </w:tcPr>
          <w:p>
            <w:r/>
            <w:r>
              <w:rPr>
                <w:b w:val="0"/>
                <w:sz w:val="19"/>
              </w:rPr>
              <w:t>AuditLog</w:t>
            </w:r>
          </w:p>
        </w:tc>
        <w:tc>
          <w:tcPr>
            <w:tcW w:type="dxa" w:w="2268"/>
          </w:tcPr>
          <w:p>
            <w:r/>
            <w:r>
              <w:rPr>
                <w:b w:val="0"/>
                <w:sz w:val="19"/>
              </w:rPr>
              <w:t>audit_logs</w:t>
            </w:r>
          </w:p>
        </w:tc>
        <w:tc>
          <w:tcPr>
            <w:tcW w:type="dxa" w:w="5216"/>
          </w:tcPr>
          <w:p>
            <w:r/>
            <w:r>
              <w:rPr>
                <w:b w:val="0"/>
                <w:sz w:val="19"/>
              </w:rPr>
              <w:t>Journal horodaté des actions sensibles.</w:t>
            </w:r>
          </w:p>
        </w:tc>
      </w:tr>
      <w:tr>
        <w:tc>
          <w:tcPr>
            <w:tcW w:type="dxa" w:w="2041"/>
          </w:tcPr>
          <w:p>
            <w:r/>
            <w:r>
              <w:rPr>
                <w:b w:val="0"/>
                <w:sz w:val="19"/>
              </w:rPr>
              <w:t>Role / RolePermission</w:t>
            </w:r>
          </w:p>
        </w:tc>
        <w:tc>
          <w:tcPr>
            <w:tcW w:type="dxa" w:w="2268"/>
          </w:tcPr>
          <w:p>
            <w:r/>
            <w:r>
              <w:rPr>
                <w:b w:val="0"/>
                <w:sz w:val="19"/>
              </w:rPr>
              <w:t>roles / role_permissions</w:t>
            </w:r>
          </w:p>
        </w:tc>
        <w:tc>
          <w:tcPr>
            <w:tcW w:type="dxa" w:w="5216"/>
          </w:tcPr>
          <w:p>
            <w:r/>
            <w:r>
              <w:rPr>
                <w:b w:val="0"/>
                <w:sz w:val="19"/>
              </w:rPr>
              <w:t>Rôles personnalisés et matrice rôle → permissions éditable à chaud.</w:t>
            </w:r>
          </w:p>
        </w:tc>
      </w:tr>
      <w:tr>
        <w:tc>
          <w:tcPr>
            <w:tcW w:type="dxa" w:w="2041"/>
          </w:tcPr>
          <w:p>
            <w:r/>
            <w:r>
              <w:rPr>
                <w:b w:val="0"/>
                <w:sz w:val="19"/>
              </w:rPr>
              <w:t>UserPermission</w:t>
            </w:r>
          </w:p>
        </w:tc>
        <w:tc>
          <w:tcPr>
            <w:tcW w:type="dxa" w:w="2268"/>
          </w:tcPr>
          <w:p>
            <w:r/>
            <w:r>
              <w:rPr>
                <w:b w:val="0"/>
                <w:sz w:val="19"/>
              </w:rPr>
              <w:t>user_permissions</w:t>
            </w:r>
          </w:p>
        </w:tc>
        <w:tc>
          <w:tcPr>
            <w:tcW w:type="dxa" w:w="5216"/>
          </w:tcPr>
          <w:p>
            <w:r/>
            <w:r>
              <w:rPr>
                <w:b w:val="0"/>
                <w:sz w:val="19"/>
              </w:rPr>
              <w:t>Permissions accordées / retirées à un utilisateur précis.</w:t>
            </w:r>
          </w:p>
        </w:tc>
      </w:tr>
      <w:tr>
        <w:tc>
          <w:tcPr>
            <w:tcW w:type="dxa" w:w="2041"/>
          </w:tcPr>
          <w:p>
            <w:r/>
            <w:r>
              <w:rPr>
                <w:b w:val="0"/>
                <w:sz w:val="19"/>
              </w:rPr>
              <w:t>Notification</w:t>
            </w:r>
          </w:p>
        </w:tc>
        <w:tc>
          <w:tcPr>
            <w:tcW w:type="dxa" w:w="2268"/>
          </w:tcPr>
          <w:p>
            <w:r/>
            <w:r>
              <w:rPr>
                <w:b w:val="0"/>
                <w:sz w:val="19"/>
              </w:rPr>
              <w:t>notifications</w:t>
            </w:r>
          </w:p>
        </w:tc>
        <w:tc>
          <w:tcPr>
            <w:tcW w:type="dxa" w:w="5216"/>
          </w:tcPr>
          <w:p>
            <w:r/>
            <w:r>
              <w:rPr>
                <w:b w:val="0"/>
                <w:sz w:val="19"/>
              </w:rPr>
              <w:t>Notifications internes de l'utilisateur (lues / non lues).</w:t>
            </w:r>
          </w:p>
        </w:tc>
      </w:tr>
    </w:tbl>
    <w:p/>
    <w:p>
      <w:pPr>
        <w:pStyle w:val="Heading3"/>
      </w:pPr>
      <w:r>
        <w:t>2.4.2 Champs clés — OrdreMission</w:t>
      </w:r>
    </w:p>
    <w:tbl>
      <w:tblPr>
        <w:tblStyle w:val="TableGrid"/>
        <w:tblW w:type="auto" w:w="0"/>
        <w:jc w:val="center"/>
        <w:tblLayout w:type="fixed"/>
        <w:tblLook w:firstColumn="1" w:firstRow="1" w:lastColumn="0" w:lastRow="0" w:noHBand="0" w:noVBand="1" w:val="04A0"/>
      </w:tblPr>
      <w:tblGrid>
        <w:gridCol w:w="2381"/>
        <w:gridCol w:w="1361"/>
        <w:gridCol w:w="5783"/>
      </w:tblGrid>
      <w:tr>
        <w:tc>
          <w:tcPr>
            <w:tcW w:type="dxa" w:w="2381"/>
            <w:shd w:val="clear" w:fill="1D9E4F"/>
          </w:tcPr>
          <w:p>
            <w:r/>
            <w:r>
              <w:rPr>
                <w:b/>
                <w:color w:val="FFFFFF"/>
                <w:sz w:val="20"/>
              </w:rPr>
              <w:t>Champ</w:t>
            </w:r>
          </w:p>
        </w:tc>
        <w:tc>
          <w:tcPr>
            <w:tcW w:type="dxa" w:w="1361"/>
            <w:shd w:val="clear" w:fill="1D9E4F"/>
          </w:tcPr>
          <w:p>
            <w:r/>
            <w:r>
              <w:rPr>
                <w:b/>
                <w:color w:val="FFFFFF"/>
                <w:sz w:val="20"/>
              </w:rPr>
              <w:t>Type</w:t>
            </w:r>
          </w:p>
        </w:tc>
        <w:tc>
          <w:tcPr>
            <w:tcW w:type="dxa" w:w="5783"/>
            <w:shd w:val="clear" w:fill="1D9E4F"/>
          </w:tcPr>
          <w:p>
            <w:r/>
            <w:r>
              <w:rPr>
                <w:b/>
                <w:color w:val="FFFFFF"/>
                <w:sz w:val="20"/>
              </w:rPr>
              <w:t>Valeurs / règle</w:t>
            </w:r>
          </w:p>
        </w:tc>
      </w:tr>
      <w:tr>
        <w:tc>
          <w:tcPr>
            <w:tcW w:type="dxa" w:w="2381"/>
          </w:tcPr>
          <w:p>
            <w:r/>
            <w:r>
              <w:rPr>
                <w:b w:val="0"/>
                <w:sz w:val="19"/>
              </w:rPr>
              <w:t>reference_semo</w:t>
            </w:r>
          </w:p>
        </w:tc>
        <w:tc>
          <w:tcPr>
            <w:tcW w:type="dxa" w:w="1361"/>
          </w:tcPr>
          <w:p>
            <w:r/>
            <w:r>
              <w:rPr>
                <w:b w:val="0"/>
                <w:sz w:val="19"/>
              </w:rPr>
              <w:t>string</w:t>
            </w:r>
          </w:p>
        </w:tc>
        <w:tc>
          <w:tcPr>
            <w:tcW w:type="dxa" w:w="5783"/>
          </w:tcPr>
          <w:p>
            <w:r/>
            <w:r>
              <w:rPr>
                <w:b w:val="0"/>
                <w:sz w:val="19"/>
              </w:rPr>
              <w:t>Clé naturelle UNIQUE (anti-doublon).</w:t>
            </w:r>
          </w:p>
        </w:tc>
      </w:tr>
      <w:tr>
        <w:tc>
          <w:tcPr>
            <w:tcW w:type="dxa" w:w="2381"/>
          </w:tcPr>
          <w:p>
            <w:r/>
            <w:r>
              <w:rPr>
                <w:b w:val="0"/>
                <w:sz w:val="19"/>
              </w:rPr>
              <w:t>role</w:t>
            </w:r>
          </w:p>
        </w:tc>
        <w:tc>
          <w:tcPr>
            <w:tcW w:type="dxa" w:w="1361"/>
          </w:tcPr>
          <w:p>
            <w:r/>
            <w:r>
              <w:rPr>
                <w:b w:val="0"/>
                <w:sz w:val="19"/>
              </w:rPr>
              <w:t>enum</w:t>
            </w:r>
          </w:p>
        </w:tc>
        <w:tc>
          <w:tcPr>
            <w:tcW w:type="dxa" w:w="5783"/>
          </w:tcPr>
          <w:p>
            <w:r/>
            <w:r>
              <w:rPr>
                <w:b w:val="0"/>
                <w:sz w:val="19"/>
              </w:rPr>
              <w:t>PARTICIPANT | CAV (le CAV est payé selon SA catégorie).</w:t>
            </w:r>
          </w:p>
        </w:tc>
      </w:tr>
      <w:tr>
        <w:tc>
          <w:tcPr>
            <w:tcW w:type="dxa" w:w="2381"/>
          </w:tcPr>
          <w:p>
            <w:r/>
            <w:r>
              <w:rPr>
                <w:b w:val="0"/>
                <w:sz w:val="19"/>
              </w:rPr>
              <w:t>categorie</w:t>
            </w:r>
          </w:p>
        </w:tc>
        <w:tc>
          <w:tcPr>
            <w:tcW w:type="dxa" w:w="1361"/>
          </w:tcPr>
          <w:p>
            <w:r/>
            <w:r>
              <w:rPr>
                <w:b w:val="0"/>
                <w:sz w:val="19"/>
              </w:rPr>
              <w:t>enum</w:t>
            </w:r>
          </w:p>
        </w:tc>
        <w:tc>
          <w:tcPr>
            <w:tcW w:type="dxa" w:w="5783"/>
          </w:tcPr>
          <w:p>
            <w:r/>
            <w:r>
              <w:rPr>
                <w:b w:val="0"/>
                <w:sz w:val="19"/>
              </w:rPr>
              <w:t>INDICE_SUP_800 | INDICE_400_799 | INDICE_INF_400 (reprise de SEMO).</w:t>
            </w:r>
          </w:p>
        </w:tc>
      </w:tr>
      <w:tr>
        <w:tc>
          <w:tcPr>
            <w:tcW w:type="dxa" w:w="2381"/>
          </w:tcPr>
          <w:p>
            <w:r/>
            <w:r>
              <w:rPr>
                <w:b w:val="0"/>
                <w:sz w:val="19"/>
              </w:rPr>
              <w:t>zone_code</w:t>
            </w:r>
          </w:p>
        </w:tc>
        <w:tc>
          <w:tcPr>
            <w:tcW w:type="dxa" w:w="1361"/>
          </w:tcPr>
          <w:p>
            <w:r/>
            <w:r>
              <w:rPr>
                <w:b w:val="0"/>
                <w:sz w:val="19"/>
              </w:rPr>
              <w:t>enum</w:t>
            </w:r>
          </w:p>
        </w:tc>
        <w:tc>
          <w:tcPr>
            <w:tcW w:type="dxa" w:w="5783"/>
          </w:tcPr>
          <w:p>
            <w:r/>
            <w:r>
              <w:rPr>
                <w:b w:val="0"/>
                <w:sz w:val="19"/>
              </w:rPr>
              <w:t>INTERIEUR | EXT_ZONE_I | EXT_ZONE_II | EXT_ZONE_III.</w:t>
            </w:r>
          </w:p>
        </w:tc>
      </w:tr>
      <w:tr>
        <w:tc>
          <w:tcPr>
            <w:tcW w:type="dxa" w:w="2381"/>
          </w:tcPr>
          <w:p>
            <w:r/>
            <w:r>
              <w:rPr>
                <w:b w:val="0"/>
                <w:sz w:val="19"/>
              </w:rPr>
              <w:t>type_prise_en_charge</w:t>
            </w:r>
          </w:p>
        </w:tc>
        <w:tc>
          <w:tcPr>
            <w:tcW w:type="dxa" w:w="1361"/>
          </w:tcPr>
          <w:p>
            <w:r/>
            <w:r>
              <w:rPr>
                <w:b w:val="0"/>
                <w:sz w:val="19"/>
              </w:rPr>
              <w:t>enum</w:t>
            </w:r>
          </w:p>
        </w:tc>
        <w:tc>
          <w:tcPr>
            <w:tcW w:type="dxa" w:w="5783"/>
          </w:tcPr>
          <w:p>
            <w:r/>
            <w:r>
              <w:rPr>
                <w:b w:val="0"/>
                <w:sz w:val="19"/>
              </w:rPr>
              <w:t>UN_REPAS | DEUX_REPAS | JOURNEE_COMPLETE | LOGE_NOURRI | LOGE_SEUL | NOURRI_SEUL.</w:t>
            </w:r>
          </w:p>
        </w:tc>
      </w:tr>
      <w:tr>
        <w:tc>
          <w:tcPr>
            <w:tcW w:type="dxa" w:w="2381"/>
          </w:tcPr>
          <w:p>
            <w:r/>
            <w:r>
              <w:rPr>
                <w:b w:val="0"/>
                <w:sz w:val="19"/>
              </w:rPr>
              <w:t>nb_jours</w:t>
            </w:r>
          </w:p>
        </w:tc>
        <w:tc>
          <w:tcPr>
            <w:tcW w:type="dxa" w:w="1361"/>
          </w:tcPr>
          <w:p>
            <w:r/>
            <w:r>
              <w:rPr>
                <w:b w:val="0"/>
                <w:sz w:val="19"/>
              </w:rPr>
              <w:t>int</w:t>
            </w:r>
          </w:p>
        </w:tc>
        <w:tc>
          <w:tcPr>
            <w:tcW w:type="dxa" w:w="5783"/>
          </w:tcPr>
          <w:p>
            <w:r/>
            <w:r>
              <w:rPr>
                <w:b w:val="0"/>
                <w:sz w:val="19"/>
              </w:rPr>
              <w:t>Décompte inclusif (règle des 12 h).</w:t>
            </w:r>
          </w:p>
        </w:tc>
      </w:tr>
      <w:tr>
        <w:tc>
          <w:tcPr>
            <w:tcW w:type="dxa" w:w="2381"/>
          </w:tcPr>
          <w:p>
            <w:r/>
            <w:r>
              <w:rPr>
                <w:b w:val="0"/>
                <w:sz w:val="19"/>
              </w:rPr>
              <w:t>montant_total</w:t>
            </w:r>
          </w:p>
        </w:tc>
        <w:tc>
          <w:tcPr>
            <w:tcW w:type="dxa" w:w="1361"/>
          </w:tcPr>
          <w:p>
            <w:r/>
            <w:r>
              <w:rPr>
                <w:b w:val="0"/>
                <w:sz w:val="19"/>
              </w:rPr>
              <w:t>int</w:t>
            </w:r>
          </w:p>
        </w:tc>
        <w:tc>
          <w:tcPr>
            <w:tcW w:type="dxa" w:w="5783"/>
          </w:tcPr>
          <w:p>
            <w:r/>
            <w:r>
              <w:rPr>
                <w:b w:val="0"/>
                <w:sz w:val="19"/>
              </w:rPr>
              <w:t>(per diem + transport) = taux journalier × nb_jours + transport (FCFA).</w:t>
            </w:r>
          </w:p>
        </w:tc>
      </w:tr>
      <w:tr>
        <w:tc>
          <w:tcPr>
            <w:tcW w:type="dxa" w:w="2381"/>
          </w:tcPr>
          <w:p>
            <w:r/>
            <w:r>
              <w:rPr>
                <w:b w:val="0"/>
                <w:sz w:val="19"/>
              </w:rPr>
              <w:t>avance / reliquat</w:t>
            </w:r>
          </w:p>
        </w:tc>
        <w:tc>
          <w:tcPr>
            <w:tcW w:type="dxa" w:w="1361"/>
          </w:tcPr>
          <w:p>
            <w:r/>
            <w:r>
              <w:rPr>
                <w:b w:val="0"/>
                <w:sz w:val="19"/>
              </w:rPr>
              <w:t>int</w:t>
            </w:r>
          </w:p>
        </w:tc>
        <w:tc>
          <w:tcPr>
            <w:tcW w:type="dxa" w:w="5783"/>
          </w:tcPr>
          <w:p>
            <w:r/>
            <w:r>
              <w:rPr>
                <w:b w:val="0"/>
                <w:sz w:val="19"/>
              </w:rPr>
              <w:t>avance = round(total × partAvance/100), 70 % par défaut (part paramétrable) ; reliquat = total − avance.</w:t>
            </w:r>
          </w:p>
        </w:tc>
      </w:tr>
      <w:tr>
        <w:tc>
          <w:tcPr>
            <w:tcW w:type="dxa" w:w="2381"/>
          </w:tcPr>
          <w:p>
            <w:r/>
            <w:r>
              <w:rPr>
                <w:b w:val="0"/>
                <w:sz w:val="19"/>
              </w:rPr>
              <w:t>avance_engagee</w:t>
            </w:r>
          </w:p>
        </w:tc>
        <w:tc>
          <w:tcPr>
            <w:tcW w:type="dxa" w:w="1361"/>
          </w:tcPr>
          <w:p>
            <w:r/>
            <w:r>
              <w:rPr>
                <w:b w:val="0"/>
                <w:sz w:val="19"/>
              </w:rPr>
              <w:t>int|null</w:t>
            </w:r>
          </w:p>
        </w:tc>
        <w:tc>
          <w:tcPr>
            <w:tcW w:type="dxa" w:w="5783"/>
          </w:tcPr>
          <w:p>
            <w:r/>
            <w:r>
              <w:rPr>
                <w:b w:val="0"/>
                <w:sz w:val="19"/>
              </w:rPr>
              <w:t>Avance figée à la validation de l'état des avances (ou à l'amendement si l'avance est déjà CONFIRME sur le circuit par OM) ; ensuite reliquat = total − avance_engagee, éventuellement NÉGATIF.</w:t>
            </w:r>
          </w:p>
        </w:tc>
      </w:tr>
      <w:tr>
        <w:tc>
          <w:tcPr>
            <w:tcW w:type="dxa" w:w="2381"/>
          </w:tcPr>
          <w:p>
            <w:r/>
            <w:r>
              <w:rPr>
                <w:b w:val="0"/>
                <w:sz w:val="19"/>
              </w:rPr>
              <w:t>statut</w:t>
            </w:r>
          </w:p>
        </w:tc>
        <w:tc>
          <w:tcPr>
            <w:tcW w:type="dxa" w:w="1361"/>
          </w:tcPr>
          <w:p>
            <w:r/>
            <w:r>
              <w:rPr>
                <w:b w:val="0"/>
                <w:sz w:val="19"/>
              </w:rPr>
              <w:t>enum</w:t>
            </w:r>
          </w:p>
        </w:tc>
        <w:tc>
          <w:tcPr>
            <w:tcW w:type="dxa" w:w="5783"/>
          </w:tcPr>
          <w:p>
            <w:r/>
            <w:r>
              <w:rPr>
                <w:b w:val="0"/>
                <w:sz w:val="19"/>
              </w:rPr>
              <w:t>IMPORTE (retranscrit) → VALIDE (état des avances validé par le DG) → SOLDE. REJETE / ANNULE possibles ; VERIFIE / VISA_DAF : valeurs héritées, plus produites.</w:t>
            </w:r>
          </w:p>
        </w:tc>
      </w:tr>
    </w:tbl>
    <w:p/>
    <w:p>
      <w:r>
        <w:rPr>
          <w:b w:val="0"/>
          <w:i/>
          <w:color w:val="4B5563"/>
        </w:rPr>
        <w:t>Le statut de l'OM ne transite pas par le circuit : il reste IMPORTE tout au long de la validation de l'état, et ne passe VALIDE (payable) qu'à la validation finale du DG. Un OM REJETE n'est jamais repris par cette propagation.</w:t>
      </w:r>
    </w:p>
    <w:p>
      <w:pPr>
        <w:pStyle w:val="Heading3"/>
      </w:pPr>
      <w:r>
        <w:t>2.4.3 Statuts — Versement et LotPaiement</w:t>
      </w:r>
    </w:p>
    <w:tbl>
      <w:tblPr>
        <w:tblStyle w:val="TableGrid"/>
        <w:tblW w:type="auto" w:w="0"/>
        <w:jc w:val="center"/>
        <w:tblLayout w:type="fixed"/>
        <w:tblLook w:firstColumn="1" w:firstRow="1" w:lastColumn="0" w:lastRow="0" w:noHBand="0" w:noVBand="1" w:val="04A0"/>
      </w:tblPr>
      <w:tblGrid>
        <w:gridCol w:w="1701"/>
        <w:gridCol w:w="2608"/>
        <w:gridCol w:w="5216"/>
      </w:tblGrid>
      <w:tr>
        <w:tc>
          <w:tcPr>
            <w:tcW w:type="dxa" w:w="1701"/>
            <w:shd w:val="clear" w:fill="1D9E4F"/>
          </w:tcPr>
          <w:p>
            <w:r/>
            <w:r>
              <w:rPr>
                <w:b/>
                <w:color w:val="FFFFFF"/>
                <w:sz w:val="20"/>
              </w:rPr>
              <w:t>Objet</w:t>
            </w:r>
          </w:p>
        </w:tc>
        <w:tc>
          <w:tcPr>
            <w:tcW w:type="dxa" w:w="2608"/>
            <w:shd w:val="clear" w:fill="1D9E4F"/>
          </w:tcPr>
          <w:p>
            <w:r/>
            <w:r>
              <w:rPr>
                <w:b/>
                <w:color w:val="FFFFFF"/>
                <w:sz w:val="20"/>
              </w:rPr>
              <w:t>Statut</w:t>
            </w:r>
          </w:p>
        </w:tc>
        <w:tc>
          <w:tcPr>
            <w:tcW w:type="dxa" w:w="5216"/>
            <w:shd w:val="clear" w:fill="1D9E4F"/>
          </w:tcPr>
          <w:p>
            <w:r/>
            <w:r>
              <w:rPr>
                <w:b/>
                <w:color w:val="FFFFFF"/>
                <w:sz w:val="20"/>
              </w:rPr>
              <w:t>Signification</w:t>
            </w:r>
          </w:p>
        </w:tc>
      </w:tr>
      <w:tr>
        <w:tc>
          <w:tcPr>
            <w:tcW w:type="dxa" w:w="1701"/>
          </w:tcPr>
          <w:p>
            <w:r/>
            <w:r>
              <w:rPr>
                <w:b w:val="0"/>
                <w:sz w:val="19"/>
              </w:rPr>
              <w:t>Versement</w:t>
            </w:r>
          </w:p>
        </w:tc>
        <w:tc>
          <w:tcPr>
            <w:tcW w:type="dxa" w:w="2608"/>
          </w:tcPr>
          <w:p>
            <w:r/>
            <w:r>
              <w:rPr>
                <w:b w:val="0"/>
                <w:sz w:val="19"/>
              </w:rPr>
              <w:t>EN_ATTENTE</w:t>
            </w:r>
          </w:p>
        </w:tc>
        <w:tc>
          <w:tcPr>
            <w:tcW w:type="dxa" w:w="5216"/>
          </w:tcPr>
          <w:p>
            <w:r/>
            <w:r>
              <w:rPr>
                <w:b w:val="0"/>
                <w:sz w:val="19"/>
              </w:rPr>
              <w:t>Créé, pas encore dans un fichier (ou remis en attente par un lot en ERREUR).</w:t>
            </w:r>
          </w:p>
        </w:tc>
      </w:tr>
      <w:tr>
        <w:tc>
          <w:tcPr>
            <w:tcW w:type="dxa" w:w="1701"/>
          </w:tcPr>
          <w:p>
            <w:r/>
            <w:r>
              <w:rPr>
                <w:b w:val="0"/>
                <w:sz w:val="19"/>
              </w:rPr>
              <w:t>Versement</w:t>
            </w:r>
          </w:p>
        </w:tc>
        <w:tc>
          <w:tcPr>
            <w:tcW w:type="dxa" w:w="2608"/>
          </w:tcPr>
          <w:p>
            <w:r/>
            <w:r>
              <w:rPr>
                <w:b w:val="0"/>
                <w:sz w:val="19"/>
              </w:rPr>
              <w:t>GENERE</w:t>
            </w:r>
          </w:p>
        </w:tc>
        <w:tc>
          <w:tcPr>
            <w:tcW w:type="dxa" w:w="5216"/>
          </w:tcPr>
          <w:p>
            <w:r/>
            <w:r>
              <w:rPr>
                <w:b w:val="0"/>
                <w:sz w:val="19"/>
              </w:rPr>
              <w:t>Inclus dans un fichier généré, non confirmé.</w:t>
            </w:r>
          </w:p>
        </w:tc>
      </w:tr>
      <w:tr>
        <w:tc>
          <w:tcPr>
            <w:tcW w:type="dxa" w:w="1701"/>
          </w:tcPr>
          <w:p>
            <w:r/>
            <w:r>
              <w:rPr>
                <w:b w:val="0"/>
                <w:sz w:val="19"/>
              </w:rPr>
              <w:t>Versement</w:t>
            </w:r>
          </w:p>
        </w:tc>
        <w:tc>
          <w:tcPr>
            <w:tcW w:type="dxa" w:w="2608"/>
          </w:tcPr>
          <w:p>
            <w:r/>
            <w:r>
              <w:rPr>
                <w:b w:val="0"/>
                <w:sz w:val="19"/>
              </w:rPr>
              <w:t>CONFIRME</w:t>
            </w:r>
          </w:p>
        </w:tc>
        <w:tc>
          <w:tcPr>
            <w:tcW w:type="dxa" w:w="5216"/>
          </w:tcPr>
          <w:p>
            <w:r/>
            <w:r>
              <w:rPr>
                <w:b w:val="0"/>
                <w:sz w:val="19"/>
              </w:rPr>
              <w:t>Paiement confirmé après dépôt (date_paiement renseignée).</w:t>
            </w:r>
          </w:p>
        </w:tc>
      </w:tr>
      <w:tr>
        <w:tc>
          <w:tcPr>
            <w:tcW w:type="dxa" w:w="1701"/>
          </w:tcPr>
          <w:p>
            <w:r/>
            <w:r>
              <w:rPr>
                <w:b w:val="0"/>
                <w:sz w:val="19"/>
              </w:rPr>
              <w:t>Versement</w:t>
            </w:r>
          </w:p>
        </w:tc>
        <w:tc>
          <w:tcPr>
            <w:tcW w:type="dxa" w:w="2608"/>
          </w:tcPr>
          <w:p>
            <w:r/>
            <w:r>
              <w:rPr>
                <w:b w:val="0"/>
                <w:sz w:val="19"/>
              </w:rPr>
              <w:t>ANNULE</w:t>
            </w:r>
          </w:p>
        </w:tc>
        <w:tc>
          <w:tcPr>
            <w:tcW w:type="dxa" w:w="5216"/>
          </w:tcPr>
          <w:p>
            <w:r/>
            <w:r>
              <w:rPr>
                <w:b w:val="0"/>
                <w:sz w:val="19"/>
              </w:rPr>
              <w:t>Versement d'un OM rejeté — jamais payé.</w:t>
            </w:r>
          </w:p>
        </w:tc>
      </w:tr>
      <w:tr>
        <w:tc>
          <w:tcPr>
            <w:tcW w:type="dxa" w:w="1701"/>
          </w:tcPr>
          <w:p>
            <w:r/>
            <w:r>
              <w:rPr>
                <w:b w:val="0"/>
                <w:sz w:val="19"/>
              </w:rPr>
              <w:t>Versement</w:t>
            </w:r>
          </w:p>
        </w:tc>
        <w:tc>
          <w:tcPr>
            <w:tcW w:type="dxa" w:w="2608"/>
          </w:tcPr>
          <w:p>
            <w:r/>
            <w:r>
              <w:rPr>
                <w:b w:val="0"/>
                <w:sz w:val="19"/>
              </w:rPr>
              <w:t>A_RECOUVRER / RECOUVRE</w:t>
            </w:r>
          </w:p>
        </w:tc>
        <w:tc>
          <w:tcPr>
            <w:tcW w:type="dxa" w:w="5216"/>
          </w:tcPr>
          <w:p>
            <w:r/>
            <w:r>
              <w:rPr>
                <w:b w:val="0"/>
                <w:sz w:val="19"/>
              </w:rPr>
              <w:t>Trop-perçu (reliquat négatif) à retenir sur salaire / retenue constatée.</w:t>
            </w:r>
          </w:p>
        </w:tc>
      </w:tr>
      <w:tr>
        <w:tc>
          <w:tcPr>
            <w:tcW w:type="dxa" w:w="1701"/>
          </w:tcPr>
          <w:p>
            <w:r/>
            <w:r>
              <w:rPr>
                <w:b w:val="0"/>
                <w:sz w:val="19"/>
              </w:rPr>
              <w:t>LotPaiement</w:t>
            </w:r>
          </w:p>
        </w:tc>
        <w:tc>
          <w:tcPr>
            <w:tcW w:type="dxa" w:w="2608"/>
          </w:tcPr>
          <w:p>
            <w:r/>
            <w:r>
              <w:rPr>
                <w:b w:val="0"/>
                <w:sz w:val="19"/>
              </w:rPr>
              <w:t>GENERE / CONFIRME / ERREUR</w:t>
            </w:r>
          </w:p>
        </w:tc>
        <w:tc>
          <w:tcPr>
            <w:tcW w:type="dxa" w:w="5216"/>
          </w:tcPr>
          <w:p>
            <w:r/>
            <w:r>
              <w:rPr>
                <w:b w:val="0"/>
                <w:sz w:val="19"/>
              </w:rPr>
              <w:t>Fichier produit / dépôt confirmé (définitif) / dépôt échoué (régénération).</w:t>
            </w:r>
          </w:p>
        </w:tc>
      </w:tr>
    </w:tbl>
    <w:p/>
    <w:p>
      <w:pPr>
        <w:pStyle w:val="Heading1"/>
      </w:pPr>
      <w:r>
        <w:t>3. Description fonctionnelle — modules</w:t>
      </w:r>
    </w:p>
    <w:p>
      <w:r>
        <w:rPr>
          <w:b w:val="0"/>
          <w:i w:val="0"/>
        </w:rPr>
        <w:t>L'application est organisée en modules fonctionnels. Chaque écran est accessible selon les permissions du profil connecté ; le menu s'adapte automatiquement.</w:t>
      </w:r>
    </w:p>
    <w:tbl>
      <w:tblPr>
        <w:tblStyle w:val="TableGrid"/>
        <w:tblW w:type="auto" w:w="0"/>
        <w:jc w:val="center"/>
        <w:tblLayout w:type="fixed"/>
        <w:tblLook w:firstColumn="1" w:firstRow="1" w:lastColumn="0" w:lastRow="0" w:noHBand="0" w:noVBand="1" w:val="04A0"/>
      </w:tblPr>
      <w:tblGrid>
        <w:gridCol w:w="2381"/>
        <w:gridCol w:w="3061"/>
        <w:gridCol w:w="4082"/>
      </w:tblGrid>
      <w:tr>
        <w:tc>
          <w:tcPr>
            <w:tcW w:type="dxa" w:w="2381"/>
            <w:shd w:val="clear" w:fill="1D9E4F"/>
          </w:tcPr>
          <w:p>
            <w:r/>
            <w:r>
              <w:rPr>
                <w:b/>
                <w:color w:val="FFFFFF"/>
                <w:sz w:val="20"/>
              </w:rPr>
              <w:t>Module</w:t>
            </w:r>
          </w:p>
        </w:tc>
        <w:tc>
          <w:tcPr>
            <w:tcW w:type="dxa" w:w="3061"/>
            <w:shd w:val="clear" w:fill="1D9E4F"/>
          </w:tcPr>
          <w:p>
            <w:r/>
            <w:r>
              <w:rPr>
                <w:b/>
                <w:color w:val="FFFFFF"/>
                <w:sz w:val="20"/>
              </w:rPr>
              <w:t>Profils concernés</w:t>
            </w:r>
          </w:p>
        </w:tc>
        <w:tc>
          <w:tcPr>
            <w:tcW w:type="dxa" w:w="4082"/>
            <w:shd w:val="clear" w:fill="1D9E4F"/>
          </w:tcPr>
          <w:p>
            <w:r/>
            <w:r>
              <w:rPr>
                <w:b/>
                <w:color w:val="FFFFFF"/>
                <w:sz w:val="20"/>
              </w:rPr>
              <w:t>Fonction principale</w:t>
            </w:r>
          </w:p>
        </w:tc>
      </w:tr>
      <w:tr>
        <w:tc>
          <w:tcPr>
            <w:tcW w:type="dxa" w:w="2381"/>
          </w:tcPr>
          <w:p>
            <w:r/>
            <w:r>
              <w:rPr>
                <w:b w:val="0"/>
                <w:sz w:val="19"/>
              </w:rPr>
              <w:t>Authentification</w:t>
            </w:r>
          </w:p>
        </w:tc>
        <w:tc>
          <w:tcPr>
            <w:tcW w:type="dxa" w:w="3061"/>
          </w:tcPr>
          <w:p>
            <w:r/>
            <w:r>
              <w:rPr>
                <w:b w:val="0"/>
                <w:sz w:val="19"/>
              </w:rPr>
              <w:t>Tous</w:t>
            </w:r>
          </w:p>
        </w:tc>
        <w:tc>
          <w:tcPr>
            <w:tcW w:type="dxa" w:w="4082"/>
          </w:tcPr>
          <w:p>
            <w:r/>
            <w:r>
              <w:rPr>
                <w:b w:val="0"/>
                <w:sz w:val="19"/>
              </w:rPr>
              <w:t>Connexion, mot de passe oublié, réinitialisation.</w:t>
            </w:r>
          </w:p>
        </w:tc>
      </w:tr>
      <w:tr>
        <w:tc>
          <w:tcPr>
            <w:tcW w:type="dxa" w:w="2381"/>
          </w:tcPr>
          <w:p>
            <w:r/>
            <w:r>
              <w:rPr>
                <w:b w:val="0"/>
                <w:sz w:val="19"/>
              </w:rPr>
              <w:t>Tableau de bord</w:t>
            </w:r>
          </w:p>
        </w:tc>
        <w:tc>
          <w:tcPr>
            <w:tcW w:type="dxa" w:w="3061"/>
          </w:tcPr>
          <w:p>
            <w:r/>
            <w:r>
              <w:rPr>
                <w:b w:val="0"/>
                <w:sz w:val="19"/>
              </w:rPr>
              <w:t>Tous (vues filtrées)</w:t>
            </w:r>
          </w:p>
        </w:tc>
        <w:tc>
          <w:tcPr>
            <w:tcW w:type="dxa" w:w="4082"/>
          </w:tcPr>
          <w:p>
            <w:r/>
            <w:r>
              <w:rPr>
                <w:b w:val="0"/>
                <w:sz w:val="19"/>
              </w:rPr>
              <w:t>KPIs, graphiques, accès rapides.</w:t>
            </w:r>
          </w:p>
        </w:tc>
      </w:tr>
      <w:tr>
        <w:tc>
          <w:tcPr>
            <w:tcW w:type="dxa" w:w="2381"/>
          </w:tcPr>
          <w:p>
            <w:r/>
            <w:r>
              <w:rPr>
                <w:b w:val="0"/>
                <w:sz w:val="19"/>
              </w:rPr>
              <w:t>Personnel (agents)</w:t>
            </w:r>
          </w:p>
        </w:tc>
        <w:tc>
          <w:tcPr>
            <w:tcW w:type="dxa" w:w="3061"/>
          </w:tcPr>
          <w:p>
            <w:r/>
            <w:r>
              <w:rPr>
                <w:b w:val="0"/>
                <w:sz w:val="19"/>
              </w:rPr>
              <w:t>GESTIONNAIRE_OM, ADMIN</w:t>
            </w:r>
          </w:p>
        </w:tc>
        <w:tc>
          <w:tcPr>
            <w:tcW w:type="dxa" w:w="4082"/>
          </w:tcPr>
          <w:p>
            <w:r/>
            <w:r>
              <w:rPr>
                <w:b w:val="0"/>
                <w:sz w:val="19"/>
              </w:rPr>
              <w:t>Référentiel agents, import, profil.</w:t>
            </w:r>
          </w:p>
        </w:tc>
      </w:tr>
      <w:tr>
        <w:tc>
          <w:tcPr>
            <w:tcW w:type="dxa" w:w="2381"/>
          </w:tcPr>
          <w:p>
            <w:r/>
            <w:r>
              <w:rPr>
                <w:b w:val="0"/>
                <w:sz w:val="19"/>
              </w:rPr>
              <w:t>Ordres de mission</w:t>
            </w:r>
          </w:p>
        </w:tc>
        <w:tc>
          <w:tcPr>
            <w:tcW w:type="dxa" w:w="3061"/>
          </w:tcPr>
          <w:p>
            <w:r/>
            <w:r>
              <w:rPr>
                <w:b w:val="0"/>
                <w:sz w:val="19"/>
              </w:rPr>
              <w:t>Tous (selon droits)</w:t>
            </w:r>
          </w:p>
        </w:tc>
        <w:tc>
          <w:tcPr>
            <w:tcW w:type="dxa" w:w="4082"/>
          </w:tcPr>
          <w:p>
            <w:r/>
            <w:r>
              <w:rPr>
                <w:b w:val="0"/>
                <w:sz w:val="19"/>
              </w:rPr>
              <w:t>Retranscription, suivi, PDF de l'OM.</w:t>
            </w:r>
          </w:p>
        </w:tc>
      </w:tr>
      <w:tr>
        <w:tc>
          <w:tcPr>
            <w:tcW w:type="dxa" w:w="2381"/>
          </w:tcPr>
          <w:p>
            <w:r/>
            <w:r>
              <w:rPr>
                <w:b w:val="0"/>
                <w:sz w:val="19"/>
              </w:rPr>
              <w:t>États de paiement</w:t>
            </w:r>
          </w:p>
        </w:tc>
        <w:tc>
          <w:tcPr>
            <w:tcW w:type="dxa" w:w="3061"/>
          </w:tcPr>
          <w:p>
            <w:r/>
            <w:r>
              <w:rPr>
                <w:b w:val="0"/>
                <w:sz w:val="19"/>
              </w:rPr>
              <w:t>GESTIONNAIRE_OM, CONTROLEUR, DAF, DG</w:t>
            </w:r>
          </w:p>
        </w:tc>
        <w:tc>
          <w:tcPr>
            <w:tcW w:type="dxa" w:w="4082"/>
          </w:tcPr>
          <w:p>
            <w:r/>
            <w:r>
              <w:rPr>
                <w:b w:val="0"/>
                <w:sz w:val="19"/>
              </w:rPr>
              <w:t>Récapitulatif, circuit de validation, PDF brouillon/final.</w:t>
            </w:r>
          </w:p>
        </w:tc>
      </w:tr>
      <w:tr>
        <w:tc>
          <w:tcPr>
            <w:tcW w:type="dxa" w:w="2381"/>
          </w:tcPr>
          <w:p>
            <w:r/>
            <w:r>
              <w:rPr>
                <w:b w:val="0"/>
                <w:sz w:val="19"/>
              </w:rPr>
              <w:t>Paiements</w:t>
            </w:r>
          </w:p>
        </w:tc>
        <w:tc>
          <w:tcPr>
            <w:tcW w:type="dxa" w:w="3061"/>
          </w:tcPr>
          <w:p>
            <w:r/>
            <w:r>
              <w:rPr>
                <w:b w:val="0"/>
                <w:sz w:val="19"/>
              </w:rPr>
              <w:t>AGENT_FINANCIER (consultation : paiements.consulter)</w:t>
            </w:r>
          </w:p>
        </w:tc>
        <w:tc>
          <w:tcPr>
            <w:tcW w:type="dxa" w:w="4082"/>
          </w:tcPr>
          <w:p>
            <w:r/>
            <w:r>
              <w:rPr>
                <w:b w:val="0"/>
                <w:sz w:val="19"/>
              </w:rPr>
              <w:t>Génération fichiers MTN/Moov, confirmation, régularisations.</w:t>
            </w:r>
          </w:p>
        </w:tc>
      </w:tr>
      <w:tr>
        <w:tc>
          <w:tcPr>
            <w:tcW w:type="dxa" w:w="2381"/>
          </w:tcPr>
          <w:p>
            <w:r/>
            <w:r>
              <w:rPr>
                <w:b w:val="0"/>
                <w:sz w:val="19"/>
              </w:rPr>
              <w:t>Barème per diem</w:t>
            </w:r>
          </w:p>
        </w:tc>
        <w:tc>
          <w:tcPr>
            <w:tcW w:type="dxa" w:w="3061"/>
          </w:tcPr>
          <w:p>
            <w:r/>
            <w:r>
              <w:rPr>
                <w:b w:val="0"/>
                <w:sz w:val="19"/>
              </w:rPr>
              <w:t>baremes.consulter (lecture, hors LECTEUR) / ADMIN (édition)</w:t>
            </w:r>
          </w:p>
        </w:tc>
        <w:tc>
          <w:tcPr>
            <w:tcW w:type="dxa" w:w="4082"/>
          </w:tcPr>
          <w:p>
            <w:r/>
            <w:r>
              <w:rPr>
                <w:b w:val="0"/>
                <w:sz w:val="19"/>
              </w:rPr>
              <w:t>Taux par catégorie/zone/type.</w:t>
            </w:r>
          </w:p>
        </w:tc>
      </w:tr>
      <w:tr>
        <w:tc>
          <w:tcPr>
            <w:tcW w:type="dxa" w:w="2381"/>
          </w:tcPr>
          <w:p>
            <w:r/>
            <w:r>
              <w:rPr>
                <w:b w:val="0"/>
                <w:sz w:val="19"/>
              </w:rPr>
              <w:t>Rapports</w:t>
            </w:r>
          </w:p>
        </w:tc>
        <w:tc>
          <w:tcPr>
            <w:tcW w:type="dxa" w:w="3061"/>
          </w:tcPr>
          <w:p>
            <w:r/>
            <w:r>
              <w:rPr>
                <w:b w:val="0"/>
                <w:sz w:val="19"/>
              </w:rPr>
              <w:t>Tous (rapports.consulter)</w:t>
            </w:r>
          </w:p>
        </w:tc>
        <w:tc>
          <w:tcPr>
            <w:tcW w:type="dxa" w:w="4082"/>
          </w:tcPr>
          <w:p>
            <w:r/>
            <w:r>
              <w:rPr>
                <w:b w:val="0"/>
                <w:sz w:val="19"/>
              </w:rPr>
              <w:t>États, exports Excel/PDF.</w:t>
            </w:r>
          </w:p>
        </w:tc>
      </w:tr>
      <w:tr>
        <w:tc>
          <w:tcPr>
            <w:tcW w:type="dxa" w:w="2381"/>
          </w:tcPr>
          <w:p>
            <w:r/>
            <w:r>
              <w:rPr>
                <w:b w:val="0"/>
                <w:sz w:val="19"/>
              </w:rPr>
              <w:t>Audit</w:t>
            </w:r>
          </w:p>
        </w:tc>
        <w:tc>
          <w:tcPr>
            <w:tcW w:type="dxa" w:w="3061"/>
          </w:tcPr>
          <w:p>
            <w:r/>
            <w:r>
              <w:rPr>
                <w:b w:val="0"/>
                <w:sz w:val="19"/>
              </w:rPr>
              <w:t>ADMIN, CONTROLEUR, DAF, DG</w:t>
            </w:r>
          </w:p>
        </w:tc>
        <w:tc>
          <w:tcPr>
            <w:tcW w:type="dxa" w:w="4082"/>
          </w:tcPr>
          <w:p>
            <w:r/>
            <w:r>
              <w:rPr>
                <w:b w:val="0"/>
                <w:sz w:val="19"/>
              </w:rPr>
              <w:t>Journal d'activité système.</w:t>
            </w:r>
          </w:p>
        </w:tc>
      </w:tr>
      <w:tr>
        <w:tc>
          <w:tcPr>
            <w:tcW w:type="dxa" w:w="2381"/>
          </w:tcPr>
          <w:p>
            <w:r/>
            <w:r>
              <w:rPr>
                <w:b w:val="0"/>
                <w:sz w:val="19"/>
              </w:rPr>
              <w:t>Administration</w:t>
            </w:r>
          </w:p>
        </w:tc>
        <w:tc>
          <w:tcPr>
            <w:tcW w:type="dxa" w:w="3061"/>
          </w:tcPr>
          <w:p>
            <w:r/>
            <w:r>
              <w:rPr>
                <w:b w:val="0"/>
                <w:sz w:val="19"/>
              </w:rPr>
              <w:t>ADMIN / SUPER_ADMIN</w:t>
            </w:r>
          </w:p>
        </w:tc>
        <w:tc>
          <w:tcPr>
            <w:tcW w:type="dxa" w:w="4082"/>
          </w:tcPr>
          <w:p>
            <w:r/>
            <w:r>
              <w:rPr>
                <w:b w:val="0"/>
                <w:sz w:val="19"/>
              </w:rPr>
              <w:t>Utilisateurs, rôles, signatures, paramètres, e-mail, sauvegardes.</w:t>
            </w:r>
          </w:p>
        </w:tc>
      </w:tr>
      <w:tr>
        <w:tc>
          <w:tcPr>
            <w:tcW w:type="dxa" w:w="2381"/>
          </w:tcPr>
          <w:p>
            <w:r/>
            <w:r>
              <w:rPr>
                <w:b w:val="0"/>
                <w:sz w:val="19"/>
              </w:rPr>
              <w:t>Pages système</w:t>
            </w:r>
          </w:p>
        </w:tc>
        <w:tc>
          <w:tcPr>
            <w:tcW w:type="dxa" w:w="3061"/>
          </w:tcPr>
          <w:p>
            <w:r/>
            <w:r>
              <w:rPr>
                <w:b w:val="0"/>
                <w:sz w:val="19"/>
              </w:rPr>
              <w:t>Système</w:t>
            </w:r>
          </w:p>
        </w:tc>
        <w:tc>
          <w:tcPr>
            <w:tcW w:type="dxa" w:w="4082"/>
          </w:tcPr>
          <w:p>
            <w:r/>
            <w:r>
              <w:rPr>
                <w:b w:val="0"/>
                <w:sz w:val="19"/>
              </w:rPr>
              <w:t>403, 404, 500, maintenance.</w:t>
            </w:r>
          </w:p>
        </w:tc>
      </w:tr>
    </w:tbl>
    <w:p/>
    <w:p>
      <w:pPr>
        <w:pStyle w:val="Heading2"/>
      </w:pPr>
      <w:r>
        <w:t>3.1 Module Authentification</w:t>
      </w:r>
    </w:p>
    <w:p>
      <w:r>
        <w:rPr>
          <w:b w:val="0"/>
          <w:i w:val="0"/>
        </w:rPr>
        <w:t>Accès sécurisé par tokens Sanctum. Un changement de mot de passe peut être imposé à la première connexion (création/réinitialisation administrative) : l'accès aux autres écrans est alors bloqué.</w:t>
      </w:r>
    </w:p>
    <w:p>
      <w:pPr>
        <w:pStyle w:val="ListBullet"/>
      </w:pPr>
      <w:r>
        <w:t>AUTH-01 — Connexion : email + mot de passe (message d'erreur neutre anti-énumération).</w:t>
      </w:r>
    </w:p>
    <w:p>
      <w:pPr>
        <w:pStyle w:val="ListBullet"/>
      </w:pPr>
      <w:r>
        <w:t>AUTH-02 — Mot de passe oublié : envoi d'un lien de réinitialisation.</w:t>
      </w:r>
    </w:p>
    <w:p>
      <w:pPr>
        <w:pStyle w:val="ListBullet"/>
      </w:pPr>
      <w:r>
        <w:t>AUTH-03 — Réinitialisation : nouveau mot de passe via token.</w:t>
      </w:r>
    </w:p>
    <w:p>
      <w:r>
        <w:rPr>
          <w:b w:val="0"/>
          <w:i w:val="0"/>
        </w:rPr>
        <w:t>Session restaurée au rechargement d'une page (stores/auth.ts → fetchUser, garde du routeur) : seul un 401 (jeton expiré ou révoqué) y met fin. Une erreur passagère de /auth/me (429, 5xx, réseau) garde le jeton et ouvre l'écran 500, dont « Réessayer » revient à la page demandée (chemin interne seulement) ; un 503 ouvre l'écran Maintenance. Avant le 28/10, toute erreur déconnectait et révoquait le jeton côté serveur.</w:t>
      </w:r>
    </w:p>
    <w:p>
      <w:pPr>
        <w:pStyle w:val="Heading2"/>
      </w:pPr>
      <w:r>
        <w:t>3.2 Module Tableau de bord</w:t>
      </w:r>
    </w:p>
    <w:p>
      <w:r>
        <w:rPr>
          <w:b w:val="0"/>
          <w:i w:val="0"/>
        </w:rPr>
        <w:t>DASH-01 — KPIs (OM en cours, validés, paiements du mois), graphiques et actions rapides, filtrés selon les droits de l'utilisateur.</w:t>
      </w:r>
    </w:p>
    <w:p>
      <w:pPr>
        <w:pStyle w:val="Heading2"/>
      </w:pPr>
      <w:r>
        <w:t>3.3 Module Personnel (agents)</w:t>
      </w:r>
    </w:p>
    <w:p>
      <w:r>
        <w:rPr>
          <w:b w:val="0"/>
          <w:i w:val="0"/>
        </w:rPr>
        <w:t>Réservé en écriture aux profils disposant de « personnel.gerer ». Le référentiel agent fournit le téléphone et l'opérateur utilisés au paiement (jamais l'OM).</w:t>
      </w:r>
    </w:p>
    <w:p>
      <w:pPr>
        <w:pStyle w:val="ListBullet"/>
      </w:pPr>
      <w:r>
        <w:t>PERS-01 — Liste : recherche (nom/matricule/IFU), filtres catégorie/opérateur/statut.</w:t>
      </w:r>
    </w:p>
    <w:p>
      <w:pPr>
        <w:pStyle w:val="ListBullet"/>
      </w:pPr>
      <w:r>
        <w:t>PERS-02 — Fiche : informations complètes + historique des missions.</w:t>
      </w:r>
    </w:p>
    <w:p>
      <w:pPr>
        <w:pStyle w:val="ListBullet"/>
      </w:pPr>
      <w:r>
        <w:t>PERS-03 — Création : la catégorie d'indice (INDICE_SUP_800 / INDICE_400_799 / INDICE_INF_400) est déduite de l'indice ou du salaire ; l'un des deux est exigé (422 sinon : « L'indice ou le salaire brut est requis pour déterminer la catégorie. »).</w:t>
      </w:r>
    </w:p>
    <w:p>
      <w:pPr>
        <w:pStyle w:val="ListBullet"/>
      </w:pPr>
      <w:r>
        <w:t>PERS-04 — Modification ; PERS-05 — Mon profil ; PERS-06 — Import Excel/CSV.</w:t>
      </w:r>
    </w:p>
    <w:p>
      <w:pPr>
        <w:pStyle w:val="Heading2"/>
      </w:pPr>
      <w:r>
        <w:t>3.4 Module Ordres de mission</w:t>
      </w:r>
    </w:p>
    <w:p>
      <w:r>
        <w:rPr>
          <w:b w:val="0"/>
          <w:i w:val="0"/>
        </w:rPr>
        <w:t>Les OM sont retranscrits depuis SEMO ; ils ne sont ni créés ni modifiés individuellement à la main (pas de PUT/DELETE unitaire). La validation ne se fait pas sur l'OM mais sur l'état de sa mission.</w:t>
      </w:r>
    </w:p>
    <w:p>
      <w:pPr>
        <w:pStyle w:val="ListBullet"/>
      </w:pPr>
      <w:r>
        <w:t>Liste des missions : point d'entrée du circuit (N OM + 1 état par mission).</w:t>
      </w:r>
    </w:p>
    <w:p>
      <w:pPr>
        <w:pStyle w:val="ListBullet"/>
      </w:pPr>
      <w:r>
        <w:t>Liste des OM : filtres statut/zone/opérateur/agent/dates, recherche par référence SEMO. Le filtre opérateur porte sur l'opérateur des versements (repli sur l'agent pour un OM sans versement).</w:t>
      </w:r>
    </w:p>
    <w:p>
      <w:pPr>
        <w:pStyle w:val="ListBullet"/>
      </w:pPr>
      <w:r>
        <w:t>Retranscription : assistant mission + N bénéficiaires (participants + CAV), per diem en temps réel.</w:t>
      </w:r>
    </w:p>
    <w:p>
      <w:pPr>
        <w:pStyle w:val="ListBullet"/>
      </w:pPr>
      <w:r>
        <w:t>Détail d'un OM : mission, bénéficiaire, montants, versements, journal des amendements ; renvoie vers l'état de la mission. Boutons Valider / Rejeter uniquement pour une mission SANS état (repli). Amender (om.retranscrire). Brouillon PDF de l'OM et historique d'audit (OM-08). Après un amendement, la fiche et l'aperçu OM-07 affichent les libellés du PDF officiel (« Avance engagée », « Reliquat (ajusté par amendement) », « Trop-perçu ») ; sinon le pourcentage réel de l'OM (utils/repartition.ts).</w:t>
      </w:r>
    </w:p>
    <w:p>
      <w:pPr>
        <w:pStyle w:val="Heading2"/>
      </w:pPr>
      <w:r>
        <w:t>3.5 Module États de paiement</w:t>
      </w:r>
    </w:p>
    <w:p>
      <w:r>
        <w:rPr>
          <w:b w:val="0"/>
          <w:i w:val="0"/>
        </w:rPr>
        <w:t>Objet central du circuit de validation. DEUX états par mission — l'état des AVANCES puis l'état des RELIQUATS (unicité mission × tranche) ; chacun est contrôlé, visé par le DAF, puis validé par le Directeur Général. L'état des reliquats ne peut être établi qu'une fois celui des avances validé.</w:t>
      </w:r>
    </w:p>
    <w:p>
      <w:pPr>
        <w:pStyle w:val="ListBullet"/>
      </w:pPr>
      <w:r>
        <w:t>File de travail : liste des états filtrable par statut et par tranche, ouverte sur la file de l'acteur.</w:t>
      </w:r>
    </w:p>
    <w:p>
      <w:pPr>
        <w:pStyle w:val="ListBullet"/>
      </w:pPr>
      <w:r>
        <w:t>Détail de l'état : onglets Avances / Reliquats, montants de la tranche, montant en lettres, frise du circuit, numérotation manuelle, actions (contrôler / viser / valider / rejeter / rafraîchir).</w:t>
      </w:r>
    </w:p>
    <w:p>
      <w:pPr>
        <w:pStyle w:val="ListBullet"/>
      </w:pPr>
      <w:r>
        <w:t>Brouillon PDF (filigrané, sans signature) puis état définitif PDF (signatures DAF + DG), paysage A4. Un « état général » consolidé (avances + reliquats) est disponible une fois les deux états validés.</w:t>
      </w:r>
    </w:p>
    <w:p>
      <w:pPr>
        <w:pStyle w:val="ListBullet"/>
      </w:pPr>
      <w:r>
        <w:t>Signatures (SUPER_ADMIN) : identités et paraphes scannés des titulaires imprimés sur l'état. Nom et fonction sont figés à chaque signature, dans cet ordre : Paramètres › Signatures, sinon le compte du signataire, sinon le libellé du poste (« Le Directeur Général »…).</w:t>
      </w:r>
    </w:p>
    <w:p>
      <w:pPr>
        <w:pStyle w:val="Heading2"/>
      </w:pPr>
      <w:r>
        <w:t>3.6 Module Paiements</w:t>
      </w:r>
    </w:p>
    <w:p>
      <w:r>
        <w:rPr>
          <w:b w:val="0"/>
          <w:i w:val="0"/>
        </w:rPr>
        <w:t>Génère les fichiers de virement Mobile Money et assure le suivi des versements. Aucun appel aux API opérateurs, aucun réimport de fichier retour.</w:t>
      </w:r>
    </w:p>
    <w:p>
      <w:pPr>
        <w:pStyle w:val="ListBullet"/>
      </w:pPr>
      <w:r>
        <w:t>PAY-01 — Liste des lots (GENERE/CONFIRME/ERREUR) + téléchargement.</w:t>
      </w:r>
    </w:p>
    <w:p>
      <w:pPr>
        <w:pStyle w:val="ListBullet"/>
      </w:pPr>
      <w:r>
        <w:t>PAY-02 / PAY-03 — Génération Moov (.xlsx) / MTN (.txt) : mission + tranche → aperçu → fichier → confirmer.</w:t>
      </w:r>
    </w:p>
    <w:p>
      <w:pPr>
        <w:pStyle w:val="ListBullet"/>
      </w:pPr>
      <w:r>
        <w:t>PAY-04 — Synthèse des versements par opérateur/statut.</w:t>
      </w:r>
    </w:p>
    <w:p>
      <w:pPr>
        <w:pStyle w:val="ListBullet"/>
      </w:pPr>
      <w:r>
        <w:t>PAY-05 — Réconciliation : écran d'information (modèle manuel, aucun réimport).</w:t>
      </w:r>
    </w:p>
    <w:p>
      <w:pPr>
        <w:pStyle w:val="ListBullet"/>
      </w:pPr>
      <w:r>
        <w:t>PAY-06 — Historique des versements confirmés (avec bénéficiaire) par période.</w:t>
      </w:r>
    </w:p>
    <w:p>
      <w:pPr>
        <w:pStyle w:val="ListBullet"/>
      </w:pPr>
      <w:r>
        <w:t>Génération asynchrone : au-delà de config('paiement.async_seuil') (50 lignes), l'API répond 202 + tracking_id ; l'écran interroge /lots/job/:id puis télécharge le lot à la fin.</w:t>
      </w:r>
    </w:p>
    <w:p>
      <w:pPr>
        <w:pStyle w:val="ListBullet"/>
      </w:pPr>
      <w:r>
        <w:t>Lots complémentaires signalés par un badge « complémentaire n° N » dans la liste ; après confirmation d'un lot, le bouton devient « Générer le lot complémentaire » tant que l'aperçu compte un bénéficiaire.</w:t>
      </w:r>
    </w:p>
    <w:p>
      <w:pPr>
        <w:pStyle w:val="Heading2"/>
      </w:pPr>
      <w:r>
        <w:t>3.7 Module Régularisations (trop-perçus)</w:t>
      </w:r>
    </w:p>
    <w:p>
      <w:r>
        <w:rPr>
          <w:b w:val="0"/>
          <w:i w:val="0"/>
        </w:rPr>
        <w:t>Un amendement à la baisse après paiement de l'avance peut rendre le reliquat négatif (trop-perçu). Le versement passe A_RECOUVRER, sort du périmètre payable et apparaît dans l'écran Régularisations.</w:t>
      </w:r>
    </w:p>
    <w:p>
      <w:pPr>
        <w:pStyle w:val="ListBullet"/>
      </w:pPr>
      <w:r>
        <w:t>Liste paginée (statut, mission, recherche) + total à recouvrer ; lien vers la fiche OM.</w:t>
      </w:r>
    </w:p>
    <w:p>
      <w:pPr>
        <w:pStyle w:val="ListBullet"/>
      </w:pPr>
      <w:r>
        <w:t>Document de retenue sur salaire (PDF) à remettre à la RH ; constat du recouvrement → RECOUVRE (paiements.confirmer).</w:t>
      </w:r>
    </w:p>
    <w:p>
      <w:pPr>
        <w:pStyle w:val="ListBullet"/>
      </w:pPr>
      <w:r>
        <w:t>Rapport « Trop-perçus » : synthèse à recouvrer / recouvrés (montants absolus).</w:t>
      </w:r>
    </w:p>
    <w:p>
      <w:pPr>
        <w:pStyle w:val="Heading1"/>
      </w:pPr>
      <w:r>
        <w:t>4. Workflows détaillés</w:t>
      </w:r>
    </w:p>
    <w:p>
      <w:r>
        <w:rPr>
          <w:b w:val="0"/>
          <w:i w:val="0"/>
        </w:rPr>
        <w:t>Chaque workflow est présenté comme une suite d'étapes (acteur → action → résultat/statut).</w:t>
      </w:r>
    </w:p>
    <w:p>
      <w:pPr>
        <w:pStyle w:val="Heading2"/>
      </w:pPr>
      <w:r>
        <w:t>4.1 Retranscription d'une mission et de ses OM</w:t>
      </w:r>
    </w:p>
    <w:p>
      <w:r>
        <w:rPr>
          <w:b w:val="0"/>
          <w:i w:val="0"/>
        </w:rPr>
        <w:t>Acteur : GESTIONNAIRE_OM (permission om.retranscrire).</w:t>
      </w:r>
    </w:p>
    <w:tbl>
      <w:tblPr>
        <w:tblStyle w:val="TableGrid"/>
        <w:tblW w:type="auto" w:w="0"/>
        <w:jc w:val="center"/>
        <w:tblLayout w:type="fixed"/>
        <w:tblLook w:firstColumn="1" w:firstRow="1" w:lastColumn="0" w:lastRow="0" w:noHBand="0" w:noVBand="1" w:val="04A0"/>
      </w:tblPr>
      <w:tblGrid>
        <w:gridCol w:w="454"/>
        <w:gridCol w:w="1474"/>
        <w:gridCol w:w="5102"/>
        <w:gridCol w:w="2494"/>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5102"/>
            <w:shd w:val="clear" w:fill="1D9E4F"/>
          </w:tcPr>
          <w:p>
            <w:r/>
            <w:r>
              <w:rPr>
                <w:b/>
                <w:color w:val="FFFFFF"/>
                <w:sz w:val="20"/>
              </w:rPr>
              <w:t>Action</w:t>
            </w:r>
          </w:p>
        </w:tc>
        <w:tc>
          <w:tcPr>
            <w:tcW w:type="dxa" w:w="2494"/>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5102"/>
          </w:tcPr>
          <w:p>
            <w:r/>
            <w:r>
              <w:rPr>
                <w:b w:val="0"/>
                <w:sz w:val="19"/>
              </w:rPr>
              <w:t>Ouvre l'assistant « Nouvel ordre » et saisit la mission (objet, destination, zone déduite, dates, prise en charge tiers).</w:t>
            </w:r>
          </w:p>
        </w:tc>
        <w:tc>
          <w:tcPr>
            <w:tcW w:type="dxa" w:w="2494"/>
          </w:tcPr>
          <w:p>
            <w:r/>
            <w:r>
              <w:rPr>
                <w:b w:val="0"/>
                <w:sz w:val="19"/>
              </w:rPr>
              <w:t>Contexte de mission enregistré</w:t>
            </w:r>
          </w:p>
        </w:tc>
      </w:tr>
      <w:tr>
        <w:tc>
          <w:tcPr>
            <w:tcW w:type="dxa" w:w="454"/>
          </w:tcPr>
          <w:p>
            <w:r/>
            <w:r>
              <w:rPr>
                <w:b w:val="0"/>
                <w:sz w:val="19"/>
              </w:rPr>
              <w:t>2</w:t>
            </w:r>
          </w:p>
        </w:tc>
        <w:tc>
          <w:tcPr>
            <w:tcW w:type="dxa" w:w="1474"/>
          </w:tcPr>
          <w:p>
            <w:r/>
            <w:r>
              <w:rPr>
                <w:b w:val="0"/>
                <w:sz w:val="19"/>
              </w:rPr>
              <w:t>Gestionnaire</w:t>
            </w:r>
          </w:p>
        </w:tc>
        <w:tc>
          <w:tcPr>
            <w:tcW w:type="dxa" w:w="5102"/>
          </w:tcPr>
          <w:p>
            <w:r/>
            <w:r>
              <w:rPr>
                <w:b w:val="0"/>
                <w:sz w:val="19"/>
              </w:rPr>
              <w:t>Ajoute chaque bénéficiaire (participant ou CAV) : référence SEMO, agent, type de prise en charge.</w:t>
            </w:r>
          </w:p>
        </w:tc>
        <w:tc>
          <w:tcPr>
            <w:tcW w:type="dxa" w:w="2494"/>
          </w:tcPr>
          <w:p>
            <w:r/>
            <w:r>
              <w:rPr>
                <w:b w:val="0"/>
                <w:sz w:val="19"/>
              </w:rPr>
              <w:t>Per diem calculé en temps réel par bénéficiaire</w:t>
            </w:r>
          </w:p>
        </w:tc>
      </w:tr>
      <w:tr>
        <w:tc>
          <w:tcPr>
            <w:tcW w:type="dxa" w:w="454"/>
          </w:tcPr>
          <w:p>
            <w:r/>
            <w:r>
              <w:rPr>
                <w:b w:val="0"/>
                <w:sz w:val="19"/>
              </w:rPr>
              <w:t>3</w:t>
            </w:r>
          </w:p>
        </w:tc>
        <w:tc>
          <w:tcPr>
            <w:tcW w:type="dxa" w:w="1474"/>
          </w:tcPr>
          <w:p>
            <w:r/>
            <w:r>
              <w:rPr>
                <w:b w:val="0"/>
                <w:sz w:val="19"/>
              </w:rPr>
              <w:t>Système</w:t>
            </w:r>
          </w:p>
        </w:tc>
        <w:tc>
          <w:tcPr>
            <w:tcW w:type="dxa" w:w="5102"/>
          </w:tcPr>
          <w:p>
            <w:r/>
            <w:r>
              <w:rPr>
                <w:b w:val="0"/>
                <w:sz w:val="19"/>
              </w:rPr>
              <w:t>Contrôle l'unicité de chaque référence SEMO et la cohérence type ↔ zone.</w:t>
            </w:r>
          </w:p>
        </w:tc>
        <w:tc>
          <w:tcPr>
            <w:tcW w:type="dxa" w:w="2494"/>
          </w:tcPr>
          <w:p>
            <w:r/>
            <w:r>
              <w:rPr>
                <w:b w:val="0"/>
                <w:sz w:val="19"/>
              </w:rPr>
              <w:t>Doublons et incohérences signalés immédiatement</w:t>
            </w:r>
          </w:p>
        </w:tc>
      </w:tr>
      <w:tr>
        <w:tc>
          <w:tcPr>
            <w:tcW w:type="dxa" w:w="454"/>
          </w:tcPr>
          <w:p>
            <w:r/>
            <w:r>
              <w:rPr>
                <w:b w:val="0"/>
                <w:sz w:val="19"/>
              </w:rPr>
              <w:t>4</w:t>
            </w:r>
          </w:p>
        </w:tc>
        <w:tc>
          <w:tcPr>
            <w:tcW w:type="dxa" w:w="1474"/>
          </w:tcPr>
          <w:p>
            <w:r/>
            <w:r>
              <w:rPr>
                <w:b w:val="0"/>
                <w:sz w:val="19"/>
              </w:rPr>
              <w:t>Gestionnaire</w:t>
            </w:r>
          </w:p>
        </w:tc>
        <w:tc>
          <w:tcPr>
            <w:tcW w:type="dxa" w:w="5102"/>
          </w:tcPr>
          <w:p>
            <w:r/>
            <w:r>
              <w:rPr>
                <w:b w:val="0"/>
                <w:sz w:val="19"/>
              </w:rPr>
              <w:t>Vérifie le récapitulatif (totaux avance/reliquat) puis enregistre.</w:t>
            </w:r>
          </w:p>
        </w:tc>
        <w:tc>
          <w:tcPr>
            <w:tcW w:type="dxa" w:w="2494"/>
          </w:tcPr>
          <w:p>
            <w:r/>
            <w:r>
              <w:rPr>
                <w:b w:val="0"/>
                <w:sz w:val="19"/>
              </w:rPr>
              <w:t>POST /api/missions : mission + N OM créés</w:t>
            </w:r>
          </w:p>
        </w:tc>
      </w:tr>
      <w:tr>
        <w:tc>
          <w:tcPr>
            <w:tcW w:type="dxa" w:w="454"/>
          </w:tcPr>
          <w:p>
            <w:r/>
            <w:r>
              <w:rPr>
                <w:b w:val="0"/>
                <w:sz w:val="19"/>
              </w:rPr>
              <w:t>5</w:t>
            </w:r>
          </w:p>
        </w:tc>
        <w:tc>
          <w:tcPr>
            <w:tcW w:type="dxa" w:w="1474"/>
          </w:tcPr>
          <w:p>
            <w:r/>
            <w:r>
              <w:rPr>
                <w:b w:val="0"/>
                <w:sz w:val="19"/>
              </w:rPr>
              <w:t>Système</w:t>
            </w:r>
          </w:p>
        </w:tc>
        <w:tc>
          <w:tcPr>
            <w:tcW w:type="dxa" w:w="5102"/>
          </w:tcPr>
          <w:p>
            <w:r/>
            <w:r>
              <w:rPr>
                <w:b w:val="0"/>
                <w:sz w:val="19"/>
              </w:rPr>
              <w:t>Crée les OM au statut IMPORTE et leurs versements AVANCE/RELIQUAT (sauf exonération).</w:t>
            </w:r>
          </w:p>
        </w:tc>
        <w:tc>
          <w:tcPr>
            <w:tcW w:type="dxa" w:w="2494"/>
          </w:tcPr>
          <w:p>
            <w:r/>
            <w:r>
              <w:rPr>
                <w:b w:val="0"/>
                <w:sz w:val="19"/>
              </w:rPr>
              <w:t>OM prêts pour contrôle</w:t>
            </w:r>
          </w:p>
        </w:tc>
      </w:tr>
    </w:tbl>
    <w:p/>
    <w:p>
      <w:pPr>
        <w:pStyle w:val="Heading2"/>
      </w:pPr>
      <w:r>
        <w:t>4.2 Circuit de validation de l'état de paiement</w:t>
      </w:r>
    </w:p>
    <w:p>
      <w:r>
        <w:rPr>
          <w:b w:val="0"/>
          <w:i w:val="0"/>
        </w:rPr>
        <w:t>L'unité validée est l'état de paiement d'une TRANCHE de la mission, et non les OM pris séparément. Le circuit ci-dessous est parcouru deux fois : d'abord pour l'état des AVANCES, puis — une fois celui-ci validé — pour l'état des RELIQUATS. Un seul geste par étape vaut pour tous les bénéficiaires.</w:t>
      </w:r>
    </w:p>
    <w:tbl>
      <w:tblPr>
        <w:tblStyle w:val="TableGrid"/>
        <w:tblW w:type="auto" w:w="0"/>
        <w:jc w:val="center"/>
        <w:tblLayout w:type="fixed"/>
        <w:tblLook w:firstColumn="1" w:firstRow="1" w:lastColumn="0" w:lastRow="0" w:noHBand="0" w:noVBand="1" w:val="04A0"/>
      </w:tblPr>
      <w:tblGrid>
        <w:gridCol w:w="454"/>
        <w:gridCol w:w="1474"/>
        <w:gridCol w:w="4762"/>
        <w:gridCol w:w="2835"/>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762"/>
            <w:shd w:val="clear" w:fill="1D9E4F"/>
          </w:tcPr>
          <w:p>
            <w:r/>
            <w:r>
              <w:rPr>
                <w:b/>
                <w:color w:val="FFFFFF"/>
                <w:sz w:val="20"/>
              </w:rPr>
              <w:t>Action</w:t>
            </w:r>
          </w:p>
        </w:tc>
        <w:tc>
          <w:tcPr>
            <w:tcW w:type="dxa" w:w="2835"/>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762"/>
          </w:tcPr>
          <w:p>
            <w:r/>
            <w:r>
              <w:rPr>
                <w:b w:val="0"/>
                <w:sz w:val="19"/>
              </w:rPr>
              <w:t>Établit le récapitulatif de la mission (POST .../etat/recapituler, om.retranscrire).</w:t>
            </w:r>
          </w:p>
        </w:tc>
        <w:tc>
          <w:tcPr>
            <w:tcW w:type="dxa" w:w="2835"/>
          </w:tcPr>
          <w:p>
            <w:r/>
            <w:r>
              <w:rPr>
                <w:b w:val="0"/>
                <w:sz w:val="19"/>
              </w:rPr>
              <w:t>État BROUILLON, brouillon PDF téléchargeable</w:t>
            </w:r>
          </w:p>
        </w:tc>
      </w:tr>
      <w:tr>
        <w:tc>
          <w:tcPr>
            <w:tcW w:type="dxa" w:w="454"/>
          </w:tcPr>
          <w:p>
            <w:r/>
            <w:r>
              <w:rPr>
                <w:b w:val="0"/>
                <w:sz w:val="19"/>
              </w:rPr>
              <w:t>2</w:t>
            </w:r>
          </w:p>
        </w:tc>
        <w:tc>
          <w:tcPr>
            <w:tcW w:type="dxa" w:w="1474"/>
          </w:tcPr>
          <w:p>
            <w:r/>
            <w:r>
              <w:rPr>
                <w:b w:val="0"/>
                <w:sz w:val="19"/>
              </w:rPr>
              <w:t>Contrôleur</w:t>
            </w:r>
          </w:p>
        </w:tc>
        <w:tc>
          <w:tcPr>
            <w:tcW w:type="dxa" w:w="4762"/>
          </w:tcPr>
          <w:p>
            <w:r/>
            <w:r>
              <w:rPr>
                <w:b w:val="0"/>
                <w:sz w:val="19"/>
              </w:rPr>
              <w:t>Contrôle de conformité (POST /api/etats/:id/controler, om.valider).</w:t>
            </w:r>
          </w:p>
        </w:tc>
        <w:tc>
          <w:tcPr>
            <w:tcW w:type="dxa" w:w="2835"/>
          </w:tcPr>
          <w:p>
            <w:r/>
            <w:r>
              <w:rPr>
                <w:b w:val="0"/>
                <w:sz w:val="19"/>
              </w:rPr>
              <w:t>État → CONTROLE, signature contrôleur</w:t>
            </w:r>
          </w:p>
        </w:tc>
      </w:tr>
      <w:tr>
        <w:tc>
          <w:tcPr>
            <w:tcW w:type="dxa" w:w="454"/>
          </w:tcPr>
          <w:p>
            <w:r/>
            <w:r>
              <w:rPr>
                <w:b w:val="0"/>
                <w:sz w:val="19"/>
              </w:rPr>
              <w:t>3</w:t>
            </w:r>
          </w:p>
        </w:tc>
        <w:tc>
          <w:tcPr>
            <w:tcW w:type="dxa" w:w="1474"/>
          </w:tcPr>
          <w:p>
            <w:r/>
            <w:r>
              <w:rPr>
                <w:b w:val="0"/>
                <w:sz w:val="19"/>
              </w:rPr>
              <w:t>DAF</w:t>
            </w:r>
          </w:p>
        </w:tc>
        <w:tc>
          <w:tcPr>
            <w:tcW w:type="dxa" w:w="4762"/>
          </w:tcPr>
          <w:p>
            <w:r/>
            <w:r>
              <w:rPr>
                <w:b w:val="0"/>
                <w:sz w:val="19"/>
              </w:rPr>
              <w:t>Appose le visa « Vu » (POST /api/etats/:id/viser, om.viser).</w:t>
            </w:r>
          </w:p>
        </w:tc>
        <w:tc>
          <w:tcPr>
            <w:tcW w:type="dxa" w:w="2835"/>
          </w:tcPr>
          <w:p>
            <w:r/>
            <w:r>
              <w:rPr>
                <w:b w:val="0"/>
                <w:sz w:val="19"/>
              </w:rPr>
              <w:t>État → VISA_DAF, signature DAF</w:t>
            </w:r>
          </w:p>
        </w:tc>
      </w:tr>
      <w:tr>
        <w:tc>
          <w:tcPr>
            <w:tcW w:type="dxa" w:w="454"/>
          </w:tcPr>
          <w:p>
            <w:r/>
            <w:r>
              <w:rPr>
                <w:b w:val="0"/>
                <w:sz w:val="19"/>
              </w:rPr>
              <w:t>4</w:t>
            </w:r>
          </w:p>
        </w:tc>
        <w:tc>
          <w:tcPr>
            <w:tcW w:type="dxa" w:w="1474"/>
          </w:tcPr>
          <w:p>
            <w:r/>
            <w:r>
              <w:rPr>
                <w:b w:val="0"/>
                <w:sz w:val="19"/>
              </w:rPr>
              <w:t>DAF ou DG</w:t>
            </w:r>
          </w:p>
        </w:tc>
        <w:tc>
          <w:tcPr>
            <w:tcW w:type="dxa" w:w="4762"/>
          </w:tcPr>
          <w:p>
            <w:r/>
            <w:r>
              <w:rPr>
                <w:b w:val="0"/>
                <w:sz w:val="19"/>
              </w:rPr>
              <w:t>Saisit le numéro de l'état (PUT /api/etats/:id/numero, om.numeroter).</w:t>
            </w:r>
          </w:p>
        </w:tc>
        <w:tc>
          <w:tcPr>
            <w:tcW w:type="dxa" w:w="2835"/>
          </w:tcPr>
          <w:p>
            <w:r/>
            <w:r>
              <w:rPr>
                <w:b w:val="0"/>
                <w:sz w:val="19"/>
              </w:rPr>
              <w:t>Numéro requis avant la validation finale</w:t>
            </w:r>
          </w:p>
        </w:tc>
      </w:tr>
      <w:tr>
        <w:tc>
          <w:tcPr>
            <w:tcW w:type="dxa" w:w="454"/>
          </w:tcPr>
          <w:p>
            <w:r/>
            <w:r>
              <w:rPr>
                <w:b w:val="0"/>
                <w:sz w:val="19"/>
              </w:rPr>
              <w:t>5</w:t>
            </w:r>
          </w:p>
        </w:tc>
        <w:tc>
          <w:tcPr>
            <w:tcW w:type="dxa" w:w="1474"/>
          </w:tcPr>
          <w:p>
            <w:r/>
            <w:r>
              <w:rPr>
                <w:b w:val="0"/>
                <w:sz w:val="19"/>
              </w:rPr>
              <w:t>Directeur Général</w:t>
            </w:r>
          </w:p>
        </w:tc>
        <w:tc>
          <w:tcPr>
            <w:tcW w:type="dxa" w:w="4762"/>
          </w:tcPr>
          <w:p>
            <w:r/>
            <w:r>
              <w:rPr>
                <w:b w:val="0"/>
                <w:sz w:val="19"/>
              </w:rPr>
              <w:t>Validation finale (POST /api/etats/:id/approuver, om.approuver).</w:t>
            </w:r>
          </w:p>
        </w:tc>
        <w:tc>
          <w:tcPr>
            <w:tcW w:type="dxa" w:w="2835"/>
          </w:tcPr>
          <w:p>
            <w:r/>
            <w:r>
              <w:rPr>
                <w:b w:val="0"/>
                <w:sz w:val="19"/>
              </w:rPr>
              <w:t>État → VALIDE. Avances : OM → VALIDE (payables) ; reliquats : fichiers de reliquat ouverts</w:t>
            </w:r>
          </w:p>
        </w:tc>
      </w:tr>
    </w:tbl>
    <w:p/>
    <w:tbl>
      <w:tblPr>
        <w:tblW w:type="auto" w:w="0"/>
        <w:jc w:val="center"/>
        <w:tblLook w:firstColumn="1" w:firstRow="1" w:lastColumn="0" w:lastRow="0" w:noHBand="0" w:noVBand="1" w:val="04A0"/>
      </w:tblPr>
      <w:tblGrid>
        <w:gridCol w:w="8640"/>
      </w:tblGrid>
      <w:tr>
        <w:tc>
          <w:tcPr>
            <w:tcW w:type="dxa" w:w="9524"/>
            <w:shd w:val="clear" w:fill="FBF3E0"/>
          </w:tcPr>
          <w:p>
            <w:r>
              <w:rPr>
                <w:b/>
                <w:color w:val="B8891A"/>
                <w:sz w:val="20"/>
              </w:rPr>
              <w:t xml:space="preserve">Séparation des tâches : </w:t>
            </w:r>
            <w:r>
              <w:rPr>
                <w:sz w:val="20"/>
              </w:rPr>
              <w:t>Quand elle est active (par défaut), les trois signataires d'un état doivent être distincts : viser est refusé au contrôleur, et valider est refusé au contrôleur comme au DAF. Un compte cumulant plusieurs droits (ex. super administrateur) ne peut pas enchaîner deux étapes du même dossier. Même règle sur le circuit par OM.</w:t>
            </w:r>
          </w:p>
        </w:tc>
      </w:tr>
    </w:tbl>
    <w:p/>
    <w:p>
      <w:r>
        <w:rPr>
          <w:b w:val="0"/>
          <w:i w:val="0"/>
        </w:rPr>
        <w:t>Rejet (POST /api/etats/:id/rejeter, om.rejeter) : possible aux étapes BROUILLON / CONTROLE / VISA_DAF avec un motif ≥ 10 caractères. Il efface les signatures amont et remet l'état en correction ; les OM gardent leur statut. Le récapitulatif peut ensuite être refait (REJETE → BROUILLON).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Deux barrières avant paiement : </w:t>
            </w:r>
            <w:r>
              <w:rPr>
                <w:sz w:val="20"/>
              </w:rPr>
              <w:t>1) Le statut de l'OM ne passe VALIDE qu'à la validation de l'état des AVANCES (propagation). 2) La génération d'un fichier vérifie en outre que l'état DE SA TRANCHE est VALIDE : la validation des avances ouvre les fichiers d'avance, celle des reliquats ouvre les fichiers de reliquat. Un versement dont l'état de tranche n'est pas validé n'apparaît pas parmi les bénéficiaires éligibles.</w:t>
            </w:r>
          </w:p>
        </w:tc>
      </w:tr>
    </w:tbl>
    <w:p/>
    <w:p>
      <w:r>
        <w:rPr>
          <w:b w:val="0"/>
          <w:i/>
          <w:color w:val="4B5563"/>
        </w:rPr>
        <w:t>Circuit OM par OM (reprise de données) : POST /api/ordres/:id/valider (om.valider) et /api/ordres/:id/rejeter (om.rejeter) subsistent pour une mission dépourvue d'état ; ils sont refusés dès qu'un état existe (MissionService::exigerAbsenceDEtat). Le rejet annule les versements EN_ATTENTE de l'OM. La validation de l'état des avances ne repropage jamais VALIDE à un OM REJETE. Sur ce circuit, un OM exonéré (montant nul) passe directement SOLDE.</w:t>
      </w:r>
    </w:p>
    <w:p>
      <w:pPr>
        <w:pStyle w:val="ListBullet"/>
      </w:pPr>
      <w:r>
        <w:t>Notifications (cloche + e-mail, NotificationService::notifier), adressées aux comptes ACTIFS qui détiennent la permission de l'étape suivante dans leurs droits EFFECTIFS (profil, rôle personnalisé, accords et retraits individuels) : om.valider / om.viser / om.approuver pour le signataire suivant, paiements.generer à la validation finale, om.retranscrire au rejet. Le SUPER_ADMIN n'est pas visé ; un compte visé à deux titres ne reçoit qu'une notification.</w:t>
      </w:r>
    </w:p>
    <w:p>
      <w:pPr>
        <w:pStyle w:val="Heading2"/>
      </w:pPr>
      <w:r>
        <w:t>4.3 Génération et confirmation des paiements</w:t>
      </w:r>
    </w:p>
    <w:p>
      <w:r>
        <w:rPr>
          <w:b w:val="0"/>
          <w:i w:val="0"/>
        </w:rPr>
        <w:t>Acteur : AGENT_FINANCIER (permissions paiements.generer / paiements.confirmer).</w:t>
      </w:r>
    </w:p>
    <w:tbl>
      <w:tblPr>
        <w:tblStyle w:val="TableGrid"/>
        <w:tblW w:type="auto" w:w="0"/>
        <w:jc w:val="center"/>
        <w:tblLayout w:type="fixed"/>
        <w:tblLook w:firstColumn="1" w:firstRow="1" w:lastColumn="0" w:lastRow="0" w:noHBand="0" w:noVBand="1" w:val="04A0"/>
      </w:tblPr>
      <w:tblGrid>
        <w:gridCol w:w="454"/>
        <w:gridCol w:w="1474"/>
        <w:gridCol w:w="4309"/>
        <w:gridCol w:w="3288"/>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309"/>
            <w:shd w:val="clear" w:fill="1D9E4F"/>
          </w:tcPr>
          <w:p>
            <w:r/>
            <w:r>
              <w:rPr>
                <w:b/>
                <w:color w:val="FFFFFF"/>
                <w:sz w:val="20"/>
              </w:rPr>
              <w:t>Action</w:t>
            </w:r>
          </w:p>
        </w:tc>
        <w:tc>
          <w:tcPr>
            <w:tcW w:type="dxa" w:w="3288"/>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Agent financier</w:t>
            </w:r>
          </w:p>
        </w:tc>
        <w:tc>
          <w:tcPr>
            <w:tcW w:type="dxa" w:w="4309"/>
          </w:tcPr>
          <w:p>
            <w:r/>
            <w:r>
              <w:rPr>
                <w:b w:val="0"/>
                <w:sz w:val="19"/>
              </w:rPr>
              <w:t>Choisit mission + tranche (AVANCE/RELIQUAT) + opérateur, puis « Prévisualiser ».</w:t>
            </w:r>
          </w:p>
        </w:tc>
        <w:tc>
          <w:tcPr>
            <w:tcW w:type="dxa" w:w="3288"/>
          </w:tcPr>
          <w:p>
            <w:r/>
            <w:r>
              <w:rPr>
                <w:b w:val="0"/>
                <w:sz w:val="19"/>
              </w:rPr>
              <w:t>Liste des bénéficiaires éligibles (OM VALIDE, non déjà confirmés)</w:t>
            </w:r>
          </w:p>
        </w:tc>
      </w:tr>
      <w:tr>
        <w:tc>
          <w:tcPr>
            <w:tcW w:type="dxa" w:w="454"/>
          </w:tcPr>
          <w:p>
            <w:r/>
            <w:r>
              <w:rPr>
                <w:b w:val="0"/>
                <w:sz w:val="19"/>
              </w:rPr>
              <w:t>2</w:t>
            </w:r>
          </w:p>
        </w:tc>
        <w:tc>
          <w:tcPr>
            <w:tcW w:type="dxa" w:w="1474"/>
          </w:tcPr>
          <w:p>
            <w:r/>
            <w:r>
              <w:rPr>
                <w:b w:val="0"/>
                <w:sz w:val="19"/>
              </w:rPr>
              <w:t>Agent financier</w:t>
            </w:r>
          </w:p>
        </w:tc>
        <w:tc>
          <w:tcPr>
            <w:tcW w:type="dxa" w:w="4309"/>
          </w:tcPr>
          <w:p>
            <w:r/>
            <w:r>
              <w:rPr>
                <w:b w:val="0"/>
                <w:sz w:val="19"/>
              </w:rPr>
              <w:t>Clique « Générer le fichier ».</w:t>
            </w:r>
          </w:p>
        </w:tc>
        <w:tc>
          <w:tcPr>
            <w:tcW w:type="dxa" w:w="3288"/>
          </w:tcPr>
          <w:p>
            <w:r/>
            <w:r>
              <w:rPr>
                <w:b w:val="0"/>
                <w:sz w:val="19"/>
              </w:rPr>
              <w:t>.txt (MTN) ou .xlsx (Moov) produit ; lot → GENERE ; versements → GENERE</w:t>
            </w:r>
          </w:p>
        </w:tc>
      </w:tr>
      <w:tr>
        <w:tc>
          <w:tcPr>
            <w:tcW w:type="dxa" w:w="454"/>
          </w:tcPr>
          <w:p>
            <w:r/>
            <w:r>
              <w:rPr>
                <w:b w:val="0"/>
                <w:sz w:val="19"/>
              </w:rPr>
              <w:t>3</w:t>
            </w:r>
          </w:p>
        </w:tc>
        <w:tc>
          <w:tcPr>
            <w:tcW w:type="dxa" w:w="1474"/>
          </w:tcPr>
          <w:p>
            <w:r/>
            <w:r>
              <w:rPr>
                <w:b w:val="0"/>
                <w:sz w:val="19"/>
              </w:rPr>
              <w:t>Système</w:t>
            </w:r>
          </w:p>
        </w:tc>
        <w:tc>
          <w:tcPr>
            <w:tcW w:type="dxa" w:w="4309"/>
          </w:tcPr>
          <w:p>
            <w:r/>
            <w:r>
              <w:rPr>
                <w:b w:val="0"/>
                <w:sz w:val="19"/>
              </w:rPr>
              <w:t>Petit lot : téléchargement direct. Gros lot : traitement en file (202 + tracking_id).</w:t>
            </w:r>
          </w:p>
        </w:tc>
        <w:tc>
          <w:tcPr>
            <w:tcW w:type="dxa" w:w="3288"/>
          </w:tcPr>
          <w:p>
            <w:r/>
            <w:r>
              <w:rPr>
                <w:b w:val="0"/>
                <w:sz w:val="19"/>
              </w:rPr>
              <w:t>Fichier disponible / suivi de job</w:t>
            </w:r>
          </w:p>
        </w:tc>
      </w:tr>
      <w:tr>
        <w:tc>
          <w:tcPr>
            <w:tcW w:type="dxa" w:w="454"/>
          </w:tcPr>
          <w:p>
            <w:r/>
            <w:r>
              <w:rPr>
                <w:b w:val="0"/>
                <w:sz w:val="19"/>
              </w:rPr>
              <w:t>4</w:t>
            </w:r>
          </w:p>
        </w:tc>
        <w:tc>
          <w:tcPr>
            <w:tcW w:type="dxa" w:w="1474"/>
          </w:tcPr>
          <w:p>
            <w:r/>
            <w:r>
              <w:rPr>
                <w:b w:val="0"/>
                <w:sz w:val="19"/>
              </w:rPr>
              <w:t>Agent financier</w:t>
            </w:r>
          </w:p>
        </w:tc>
        <w:tc>
          <w:tcPr>
            <w:tcW w:type="dxa" w:w="4309"/>
          </w:tcPr>
          <w:p>
            <w:r/>
            <w:r>
              <w:rPr>
                <w:b w:val="0"/>
                <w:sz w:val="19"/>
              </w:rPr>
              <w:t>Dépose le fichier sur la plateforme de l'opérateur (hors application).</w:t>
            </w:r>
          </w:p>
        </w:tc>
        <w:tc>
          <w:tcPr>
            <w:tcW w:type="dxa" w:w="3288"/>
          </w:tcPr>
          <w:p>
            <w:r/>
            <w:r>
              <w:rPr>
                <w:b w:val="0"/>
                <w:sz w:val="19"/>
              </w:rPr>
              <w:t>Virements exécutés côté opérateur</w:t>
            </w:r>
          </w:p>
        </w:tc>
      </w:tr>
      <w:tr>
        <w:tc>
          <w:tcPr>
            <w:tcW w:type="dxa" w:w="454"/>
          </w:tcPr>
          <w:p>
            <w:r/>
            <w:r>
              <w:rPr>
                <w:b w:val="0"/>
                <w:sz w:val="19"/>
              </w:rPr>
              <w:t>5</w:t>
            </w:r>
          </w:p>
        </w:tc>
        <w:tc>
          <w:tcPr>
            <w:tcW w:type="dxa" w:w="1474"/>
          </w:tcPr>
          <w:p>
            <w:r/>
            <w:r>
              <w:rPr>
                <w:b w:val="0"/>
                <w:sz w:val="19"/>
              </w:rPr>
              <w:t>Agent financier</w:t>
            </w:r>
          </w:p>
        </w:tc>
        <w:tc>
          <w:tcPr>
            <w:tcW w:type="dxa" w:w="4309"/>
          </w:tcPr>
          <w:p>
            <w:r/>
            <w:r>
              <w:rPr>
                <w:b w:val="0"/>
                <w:sz w:val="19"/>
              </w:rPr>
              <w:t>Revient dans l'application et confirme le lot (statut GENERE requis).</w:t>
            </w:r>
          </w:p>
        </w:tc>
        <w:tc>
          <w:tcPr>
            <w:tcW w:type="dxa" w:w="3288"/>
          </w:tcPr>
          <w:p>
            <w:r/>
            <w:r>
              <w:rPr>
                <w:b w:val="0"/>
                <w:sz w:val="19"/>
              </w:rPr>
              <w:t>Lot + versements → CONFIRME (horodatés) ; OM dont tous les versements non nuls sont réglés → SOLDE</w:t>
            </w:r>
          </w:p>
        </w:tc>
      </w:tr>
      <w:tr>
        <w:tc>
          <w:tcPr>
            <w:tcW w:type="dxa" w:w="454"/>
          </w:tcPr>
          <w:p>
            <w:r/>
            <w:r>
              <w:rPr>
                <w:b w:val="0"/>
                <w:sz w:val="19"/>
              </w:rPr>
              <w:t>6</w:t>
            </w:r>
          </w:p>
        </w:tc>
        <w:tc>
          <w:tcPr>
            <w:tcW w:type="dxa" w:w="1474"/>
          </w:tcPr>
          <w:p>
            <w:r/>
            <w:r>
              <w:rPr>
                <w:b w:val="0"/>
                <w:sz w:val="19"/>
              </w:rPr>
              <w:t>Agent financier</w:t>
            </w:r>
          </w:p>
        </w:tc>
        <w:tc>
          <w:tcPr>
            <w:tcW w:type="dxa" w:w="4309"/>
          </w:tcPr>
          <w:p>
            <w:r/>
            <w:r>
              <w:rPr>
                <w:b w:val="0"/>
                <w:sz w:val="19"/>
              </w:rPr>
              <w:t>En cas de problème : marque le lot « en erreur », corrige au besoin l'agent, puis régénère.</w:t>
            </w:r>
          </w:p>
        </w:tc>
        <w:tc>
          <w:tcPr>
            <w:tcW w:type="dxa" w:w="3288"/>
          </w:tcPr>
          <w:p>
            <w:r/>
            <w:r>
              <w:rPr>
                <w:b w:val="0"/>
                <w:sz w:val="19"/>
              </w:rPr>
              <w:t>Lot → ERREUR ; versements → EN_ATTENTE (coordonnées agent rafraîchies) → régénération → GENERE</w:t>
            </w:r>
          </w:p>
        </w:tc>
      </w:tr>
      <w:tr>
        <w:tc>
          <w:tcPr>
            <w:tcW w:type="dxa" w:w="454"/>
          </w:tcPr>
          <w:p>
            <w:r/>
            <w:r>
              <w:rPr>
                <w:b w:val="0"/>
                <w:sz w:val="19"/>
              </w:rPr>
              <w:t>7</w:t>
            </w:r>
          </w:p>
        </w:tc>
        <w:tc>
          <w:tcPr>
            <w:tcW w:type="dxa" w:w="1474"/>
          </w:tcPr>
          <w:p>
            <w:r/>
            <w:r>
              <w:rPr>
                <w:b w:val="0"/>
                <w:sz w:val="19"/>
              </w:rPr>
              <w:t>Agent financier</w:t>
            </w:r>
          </w:p>
        </w:tc>
        <w:tc>
          <w:tcPr>
            <w:tcW w:type="dxa" w:w="4309"/>
          </w:tcPr>
          <w:p>
            <w:r/>
            <w:r>
              <w:rPr>
                <w:b w:val="0"/>
                <w:sz w:val="19"/>
              </w:rPr>
              <w:t>Un versement devient payable après la confirmation du lot (OM validé tard, changement d'opérateur…).</w:t>
            </w:r>
          </w:p>
        </w:tc>
        <w:tc>
          <w:tcPr>
            <w:tcW w:type="dxa" w:w="3288"/>
          </w:tcPr>
          <w:p>
            <w:r/>
            <w:r>
              <w:rPr>
                <w:b w:val="0"/>
                <w:sz w:val="19"/>
              </w:rPr>
              <w:t>Nouvelle génération → lot COMPLÉMENTAIRE (sequence + 1, fichier …_COMPL{n})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Idempotence &amp; confirmation : </w:t>
            </w:r>
            <w:r>
              <w:rPr>
                <w:sz w:val="20"/>
              </w:rPr>
              <w:t>Un versement CONFIRME n'est jamais réinclus dans un nouveau fichier (protection anti-double-paiement). La régénération n'est possible que tant que le lot n'est pas confirmé. Seul un lot au statut GENERE peut être confirmé : un lot en ERREUR doit d'abord être régénéré (on ne confirme pas un fichier invalidé). Versement::scopeEligiblesLot exclut CONFIRME, ANNULE, A_RECOUVRER, RECOUVRE, les montants ≤ 0 et tout versement porté par un lot CONFIRME (seconde barrière). Un lot CONFIRME n'est jamais réécrit : la génération suivante crée le lot de séquence suivante. Génération sous transaction avec lockForUpdate sur le dernier lot de la clé.</w:t>
            </w:r>
          </w:p>
        </w:tc>
      </w:tr>
    </w:tbl>
    <w:p/>
    <w:p>
      <w:pPr>
        <w:pStyle w:val="ListBullet"/>
      </w:pPr>
      <w:r>
        <w:t>Gros lot en file (GenererLotPaiementJob, file « paiements ») : mêmes règles que la génération directe (LotPaiementService::generer). En cas d'échec définitif (après 3 tentatives, ou dès le premier échec en QUEUE_CONNECTION=sync), le suivi passe ERREUR et le dernier lot GENERE/ERREUR de la clé passe en ERREUR par LotPaiementService::marquerErreur, comme l'action manuelle : versements EN_ATTENTE, coordonnées rafraîchies, audit ERROR_LOT. Un lot CONFIRME n'est jamais touché. Détail : backend/docs/queues.md.</w:t>
      </w:r>
    </w:p>
    <w:p>
      <w:pPr>
        <w:pStyle w:val="ListBullet"/>
      </w:pPr>
      <w:r>
        <w:t>En QUEUE_CONNECTION=sync (production cPanel), le job tourne dans la requête : le gros lot répond 202 seulement si la génération réussit ; sinon l'erreur revient dans la réponse même (après failed()). L'écran recharge alors le lot : un lot passé en ERREUR n'offre plus « Confirmer ».</w:t>
      </w:r>
    </w:p>
    <w:p>
      <w:pPr>
        <w:pStyle w:val="Heading2"/>
      </w:pPr>
      <w:r>
        <w:t>4.4 Génération de l'ordre de mission en PDF</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Utilisateur</w:t>
            </w:r>
          </w:p>
        </w:tc>
        <w:tc>
          <w:tcPr>
            <w:tcW w:type="dxa" w:w="4876"/>
          </w:tcPr>
          <w:p>
            <w:r/>
            <w:r>
              <w:rPr>
                <w:b w:val="0"/>
                <w:sz w:val="19"/>
              </w:rPr>
              <w:t>Ouvre la fiche d'un OM, clique « PDF de l'OM » (écran OM-07, /ordres/:id/pdf) puis « Télécharger PDF ».</w:t>
            </w:r>
          </w:p>
        </w:tc>
        <w:tc>
          <w:tcPr>
            <w:tcW w:type="dxa" w:w="2721"/>
          </w:tcPr>
          <w:p>
            <w:r/>
            <w:r>
              <w:rPr>
                <w:b w:val="0"/>
                <w:sz w:val="19"/>
              </w:rPr>
              <w:t>GET /api/ordres/:id/pdf</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Génère le PDF via DomPDF (en-tête officiel ANaTT mutualisé, données OM, montants).</w:t>
            </w:r>
          </w:p>
        </w:tc>
        <w:tc>
          <w:tcPr>
            <w:tcW w:type="dxa" w:w="2721"/>
          </w:tcPr>
          <w:p>
            <w:r/>
            <w:r>
              <w:rPr>
                <w:b w:val="0"/>
                <w:sz w:val="19"/>
              </w:rPr>
              <w:t>PDF produit côté serveur</w:t>
            </w:r>
          </w:p>
        </w:tc>
      </w:tr>
      <w:tr>
        <w:tc>
          <w:tcPr>
            <w:tcW w:type="dxa" w:w="454"/>
          </w:tcPr>
          <w:p>
            <w:r/>
            <w:r>
              <w:rPr>
                <w:b w:val="0"/>
                <w:sz w:val="19"/>
              </w:rPr>
              <w:t>3</w:t>
            </w:r>
          </w:p>
        </w:tc>
        <w:tc>
          <w:tcPr>
            <w:tcW w:type="dxa" w:w="1474"/>
          </w:tcPr>
          <w:p>
            <w:r/>
            <w:r>
              <w:rPr>
                <w:b w:val="0"/>
                <w:sz w:val="19"/>
              </w:rPr>
              <w:t>Système</w:t>
            </w:r>
          </w:p>
        </w:tc>
        <w:tc>
          <w:tcPr>
            <w:tcW w:type="dxa" w:w="4876"/>
          </w:tcPr>
          <w:p>
            <w:r/>
            <w:r>
              <w:rPr>
                <w:b w:val="0"/>
                <w:sz w:val="19"/>
              </w:rPr>
              <w:t>Blocs de signature : signature portée par l'OM (circuit par OM, données héritées) en priorité, sinon celle de l'état des AVANCES qui couvre l'OM (PdfGenerator::etatSignataire).</w:t>
            </w:r>
          </w:p>
        </w:tc>
        <w:tc>
          <w:tcPr>
            <w:tcW w:type="dxa" w:w="2721"/>
          </w:tcPr>
          <w:p>
            <w:r/>
            <w:r>
              <w:rPr>
                <w:b w:val="0"/>
                <w:sz w:val="19"/>
              </w:rPr>
              <w:t>Mêmes nom, fonction, paraphe archivé et code de vérification que l'état</w:t>
            </w:r>
          </w:p>
        </w:tc>
      </w:tr>
      <w:tr>
        <w:tc>
          <w:tcPr>
            <w:tcW w:type="dxa" w:w="454"/>
          </w:tcPr>
          <w:p>
            <w:r/>
            <w:r>
              <w:rPr>
                <w:b w:val="0"/>
                <w:sz w:val="19"/>
              </w:rPr>
              <w:t>4</w:t>
            </w:r>
          </w:p>
        </w:tc>
        <w:tc>
          <w:tcPr>
            <w:tcW w:type="dxa" w:w="1474"/>
          </w:tcPr>
          <w:p>
            <w:r/>
            <w:r>
              <w:rPr>
                <w:b w:val="0"/>
                <w:sz w:val="19"/>
              </w:rPr>
              <w:t>Utilisateur</w:t>
            </w:r>
          </w:p>
        </w:tc>
        <w:tc>
          <w:tcPr>
            <w:tcW w:type="dxa" w:w="4876"/>
          </w:tcPr>
          <w:p>
            <w:r/>
            <w:r>
              <w:rPr>
                <w:b w:val="0"/>
                <w:sz w:val="19"/>
              </w:rPr>
              <w:t>Visualise ou télécharge le document.</w:t>
            </w:r>
          </w:p>
        </w:tc>
        <w:tc>
          <w:tcPr>
            <w:tcW w:type="dxa" w:w="2721"/>
          </w:tcPr>
          <w:p>
            <w:r/>
            <w:r>
              <w:rPr>
                <w:b w:val="0"/>
                <w:sz w:val="19"/>
              </w:rPr>
              <w:t>Fichier PDF imprimable</w:t>
            </w:r>
          </w:p>
        </w:tc>
      </w:tr>
    </w:tbl>
    <w:p/>
    <w:p>
      <w:pPr>
        <w:pStyle w:val="ListBullet"/>
      </w:pPr>
      <w:r>
        <w:t>Couverture par l'état : l'OM doit figurer dans le tableau lignes figé au récapitulatif (numero = reference_semo) ; un OM REJETE / ANNULE ou un état REJETE ne fournit aucune signature, et un brouillon n'en montre jamais.</w:t>
      </w:r>
    </w:p>
    <w:p>
      <w:pPr>
        <w:pStyle w:val="ListBullet"/>
      </w:pPr>
      <w:r>
        <w:t>Cache : ordres/OM-{ref}-{statut}[-ETAT-{statut_etat}][-AMD{n}].pdf — le statut de l'état et le nombre d'amendements entrent dans la clé, pour qu'une signature apposée sur l'état ou un amendement régénère le PDF d'un OM resté au même statut. Tests : OmPdfSignaturesEtatTest, OmPdfAmendementTest.</w:t>
      </w:r>
    </w:p>
    <w:p>
      <w:pPr>
        <w:pStyle w:val="ListBullet"/>
      </w:pPr>
      <w:r>
        <w:t>Après un amendement, la répartition affichée suit les montants réels : « Avance engagée », « Reliquat (ajusté par amendement) » ou « Trop-perçu (à recouvrer par retenue sur salaire) », avec un encadré rappelant le dernier amendement ; le taux journalier affiché exclut le transport.</w:t>
      </w:r>
    </w:p>
    <w:p>
      <w:pPr>
        <w:pStyle w:val="ListBullet"/>
      </w:pPr>
      <w:r>
        <w:t>Dernier amendement : tri par amende_le puis id décroissants (deux amendements dans la même seconde restent ordonnés). Même ordre pour le document de retenue (motif) et le journal de la fiche OM.</w:t>
      </w:r>
    </w:p>
    <w:p>
      <w:pPr>
        <w:pStyle w:val="ListBullet"/>
      </w:pPr>
      <w:r>
        <w:t>Accès : le lien « PDF de l'OM » de la fiche est le seul chemin vers le PDF officiel ; « Télécharger le brouillon » (filigrané) n'est proposé que tant que l'OM n'est ni VALIDE ni SOLDE.</w:t>
      </w:r>
    </w:p>
    <w:p>
      <w:pPr>
        <w:pStyle w:val="Heading2"/>
      </w:pPr>
      <w:r>
        <w:t>4.5 Import en masse des agents (Excel / CSV)</w:t>
      </w:r>
    </w:p>
    <w:tbl>
      <w:tblPr>
        <w:tblStyle w:val="TableGrid"/>
        <w:tblW w:type="auto" w:w="0"/>
        <w:jc w:val="center"/>
        <w:tblLayout w:type="fixed"/>
        <w:tblLook w:firstColumn="1" w:firstRow="1" w:lastColumn="0" w:lastRow="0" w:noHBand="0" w:noVBand="1" w:val="04A0"/>
      </w:tblPr>
      <w:tblGrid>
        <w:gridCol w:w="454"/>
        <w:gridCol w:w="1474"/>
        <w:gridCol w:w="4876"/>
        <w:gridCol w:w="2721"/>
      </w:tblGrid>
      <w:tr>
        <w:tc>
          <w:tcPr>
            <w:tcW w:type="dxa" w:w="454"/>
            <w:shd w:val="clear" w:fill="1D9E4F"/>
          </w:tcPr>
          <w:p>
            <w:r/>
            <w:r>
              <w:rPr>
                <w:b/>
                <w:color w:val="FFFFFF"/>
                <w:sz w:val="20"/>
              </w:rPr>
              <w:t>#</w:t>
            </w:r>
          </w:p>
        </w:tc>
        <w:tc>
          <w:tcPr>
            <w:tcW w:type="dxa" w:w="1474"/>
            <w:shd w:val="clear" w:fill="1D9E4F"/>
          </w:tcPr>
          <w:p>
            <w:r/>
            <w:r>
              <w:rPr>
                <w:b/>
                <w:color w:val="FFFFFF"/>
                <w:sz w:val="20"/>
              </w:rPr>
              <w:t>Acteur</w:t>
            </w:r>
          </w:p>
        </w:tc>
        <w:tc>
          <w:tcPr>
            <w:tcW w:type="dxa" w:w="4876"/>
            <w:shd w:val="clear" w:fill="1D9E4F"/>
          </w:tcPr>
          <w:p>
            <w:r/>
            <w:r>
              <w:rPr>
                <w:b/>
                <w:color w:val="FFFFFF"/>
                <w:sz w:val="20"/>
              </w:rPr>
              <w:t>Action</w:t>
            </w:r>
          </w:p>
        </w:tc>
        <w:tc>
          <w:tcPr>
            <w:tcW w:type="dxa" w:w="2721"/>
            <w:shd w:val="clear" w:fill="1D9E4F"/>
          </w:tcPr>
          <w:p>
            <w:r/>
            <w:r>
              <w:rPr>
                <w:b/>
                <w:color w:val="FFFFFF"/>
                <w:sz w:val="20"/>
              </w:rPr>
              <w:t>Résultat / statut</w:t>
            </w:r>
          </w:p>
        </w:tc>
      </w:tr>
      <w:tr>
        <w:tc>
          <w:tcPr>
            <w:tcW w:type="dxa" w:w="454"/>
          </w:tcPr>
          <w:p>
            <w:r/>
            <w:r>
              <w:rPr>
                <w:b w:val="0"/>
                <w:sz w:val="19"/>
              </w:rPr>
              <w:t>1</w:t>
            </w:r>
          </w:p>
        </w:tc>
        <w:tc>
          <w:tcPr>
            <w:tcW w:type="dxa" w:w="1474"/>
          </w:tcPr>
          <w:p>
            <w:r/>
            <w:r>
              <w:rPr>
                <w:b w:val="0"/>
                <w:sz w:val="19"/>
              </w:rPr>
              <w:t>Gestionnaire</w:t>
            </w:r>
          </w:p>
        </w:tc>
        <w:tc>
          <w:tcPr>
            <w:tcW w:type="dxa" w:w="4876"/>
          </w:tcPr>
          <w:p>
            <w:r/>
            <w:r>
              <w:rPr>
                <w:b w:val="0"/>
                <w:sz w:val="19"/>
              </w:rPr>
              <w:t>Dépose un fichier Excel/CSV et lance la prévisualisation.</w:t>
            </w:r>
          </w:p>
        </w:tc>
        <w:tc>
          <w:tcPr>
            <w:tcW w:type="dxa" w:w="2721"/>
          </w:tcPr>
          <w:p>
            <w:r/>
            <w:r>
              <w:rPr>
                <w:b w:val="0"/>
                <w:sz w:val="19"/>
              </w:rPr>
              <w:t>Aperçu des données</w:t>
            </w:r>
          </w:p>
        </w:tc>
      </w:tr>
      <w:tr>
        <w:tc>
          <w:tcPr>
            <w:tcW w:type="dxa" w:w="454"/>
          </w:tcPr>
          <w:p>
            <w:r/>
            <w:r>
              <w:rPr>
                <w:b w:val="0"/>
                <w:sz w:val="19"/>
              </w:rPr>
              <w:t>2</w:t>
            </w:r>
          </w:p>
        </w:tc>
        <w:tc>
          <w:tcPr>
            <w:tcW w:type="dxa" w:w="1474"/>
          </w:tcPr>
          <w:p>
            <w:r/>
            <w:r>
              <w:rPr>
                <w:b w:val="0"/>
                <w:sz w:val="19"/>
              </w:rPr>
              <w:t>Système</w:t>
            </w:r>
          </w:p>
        </w:tc>
        <w:tc>
          <w:tcPr>
            <w:tcW w:type="dxa" w:w="4876"/>
          </w:tcPr>
          <w:p>
            <w:r/>
            <w:r>
              <w:rPr>
                <w:b w:val="0"/>
                <w:sz w:val="19"/>
              </w:rPr>
              <w:t>Valide chaque ligne (unicité matricule/téléphone, cohérence numéro/opérateur).</w:t>
            </w:r>
          </w:p>
        </w:tc>
        <w:tc>
          <w:tcPr>
            <w:tcW w:type="dxa" w:w="2721"/>
          </w:tcPr>
          <w:p>
            <w:r/>
            <w:r>
              <w:rPr>
                <w:b w:val="0"/>
                <w:sz w:val="19"/>
              </w:rPr>
              <w:t>Rapport d'erreurs ligne à ligne</w:t>
            </w:r>
          </w:p>
        </w:tc>
      </w:tr>
      <w:tr>
        <w:tc>
          <w:tcPr>
            <w:tcW w:type="dxa" w:w="454"/>
          </w:tcPr>
          <w:p>
            <w:r/>
            <w:r>
              <w:rPr>
                <w:b w:val="0"/>
                <w:sz w:val="19"/>
              </w:rPr>
              <w:t>3</w:t>
            </w:r>
          </w:p>
        </w:tc>
        <w:tc>
          <w:tcPr>
            <w:tcW w:type="dxa" w:w="1474"/>
          </w:tcPr>
          <w:p>
            <w:r/>
            <w:r>
              <w:rPr>
                <w:b w:val="0"/>
                <w:sz w:val="19"/>
              </w:rPr>
              <w:t>Gestionnaire</w:t>
            </w:r>
          </w:p>
        </w:tc>
        <w:tc>
          <w:tcPr>
            <w:tcW w:type="dxa" w:w="4876"/>
          </w:tcPr>
          <w:p>
            <w:r/>
            <w:r>
              <w:rPr>
                <w:b w:val="0"/>
                <w:sz w:val="19"/>
              </w:rPr>
              <w:t>Confirme l'import.</w:t>
            </w:r>
          </w:p>
        </w:tc>
        <w:tc>
          <w:tcPr>
            <w:tcW w:type="dxa" w:w="2721"/>
          </w:tcPr>
          <w:p>
            <w:r/>
            <w:r>
              <w:rPr>
                <w:b w:val="0"/>
                <w:sz w:val="19"/>
              </w:rPr>
              <w:t>Import « tout ou rien » (rollback complet à la moindre erreur)</w:t>
            </w:r>
          </w:p>
        </w:tc>
      </w:tr>
    </w:tbl>
    <w:p/>
    <w:p>
      <w:pPr>
        <w:pStyle w:val="Heading2"/>
      </w:pPr>
      <w:r>
        <w:t>4.6 Amendement d'un OM (avenant)</w:t>
      </w:r>
    </w:p>
    <w:p>
      <w:r>
        <w:rPr>
          <w:b w:val="0"/>
          <w:i w:val="0"/>
        </w:rPr>
        <w:t>Acteur : GESTIONNAIRE_OM (om.retranscrire). POST /api/ordres/:id/amender — body { nb_jours? | lignes?, motif ≥ 10 car. } — MissionService::amender, en transaction (OM et états verrouillés).</w:t>
      </w:r>
    </w:p>
    <w:tbl>
      <w:tblPr>
        <w:tblStyle w:val="TableGrid"/>
        <w:tblW w:type="auto" w:w="0"/>
        <w:jc w:val="center"/>
        <w:tblLayout w:type="fixed"/>
        <w:tblLook w:firstColumn="1" w:firstRow="1" w:lastColumn="0" w:lastRow="0" w:noHBand="0" w:noVBand="1" w:val="04A0"/>
      </w:tblPr>
      <w:tblGrid>
        <w:gridCol w:w="454"/>
        <w:gridCol w:w="1587"/>
        <w:gridCol w:w="7483"/>
      </w:tblGrid>
      <w:tr>
        <w:tc>
          <w:tcPr>
            <w:tcW w:type="dxa" w:w="454"/>
            <w:shd w:val="clear" w:fill="1D9E4F"/>
          </w:tcPr>
          <w:p>
            <w:r/>
            <w:r>
              <w:rPr>
                <w:b/>
                <w:color w:val="FFFFFF"/>
                <w:sz w:val="20"/>
              </w:rPr>
              <w:t>#</w:t>
            </w:r>
          </w:p>
        </w:tc>
        <w:tc>
          <w:tcPr>
            <w:tcW w:type="dxa" w:w="1587"/>
            <w:shd w:val="clear" w:fill="1D9E4F"/>
          </w:tcPr>
          <w:p>
            <w:r/>
            <w:r>
              <w:rPr>
                <w:b/>
                <w:color w:val="FFFFFF"/>
                <w:sz w:val="20"/>
              </w:rPr>
              <w:t>Étape</w:t>
            </w:r>
          </w:p>
        </w:tc>
        <w:tc>
          <w:tcPr>
            <w:tcW w:type="dxa" w:w="7483"/>
            <w:shd w:val="clear" w:fill="1D9E4F"/>
          </w:tcPr>
          <w:p>
            <w:r/>
            <w:r>
              <w:rPr>
                <w:b/>
                <w:color w:val="FFFFFF"/>
                <w:sz w:val="20"/>
              </w:rPr>
              <w:t>Règle</w:t>
            </w:r>
          </w:p>
        </w:tc>
      </w:tr>
      <w:tr>
        <w:tc>
          <w:tcPr>
            <w:tcW w:type="dxa" w:w="454"/>
          </w:tcPr>
          <w:p>
            <w:r/>
            <w:r>
              <w:rPr>
                <w:b w:val="0"/>
                <w:sz w:val="19"/>
              </w:rPr>
              <w:t>1</w:t>
            </w:r>
          </w:p>
        </w:tc>
        <w:tc>
          <w:tcPr>
            <w:tcW w:type="dxa" w:w="1587"/>
          </w:tcPr>
          <w:p>
            <w:r/>
            <w:r>
              <w:rPr>
                <w:b w:val="0"/>
                <w:sz w:val="19"/>
              </w:rPr>
              <w:t>Gardes</w:t>
            </w:r>
          </w:p>
        </w:tc>
        <w:tc>
          <w:tcPr>
            <w:tcW w:type="dxa" w:w="7483"/>
          </w:tcPr>
          <w:p>
            <w:r/>
            <w:r>
              <w:rPr>
                <w:b w:val="0"/>
                <w:sz w:val="19"/>
              </w:rPr>
              <w:t>Refus si OM REJETE/ANNULE ; si un versement de l'OM est GENERE (fichier en attente de dépôt) ; si un état de tranche est CONTROLE/VISA_DAF (rejet guidé) ; si l'état des reliquats est VALIDE ; si le reliquat est déjà CONFIRME (payé : avenant formel) ; si un trop-perçu est déjà RECOUVRE. Un OM SOLDE reste amendable hors ces deux derniers cas.</w:t>
            </w:r>
          </w:p>
        </w:tc>
      </w:tr>
      <w:tr>
        <w:tc>
          <w:tcPr>
            <w:tcW w:type="dxa" w:w="454"/>
          </w:tcPr>
          <w:p>
            <w:r/>
            <w:r>
              <w:rPr>
                <w:b w:val="0"/>
                <w:sz w:val="19"/>
              </w:rPr>
              <w:t>2</w:t>
            </w:r>
          </w:p>
        </w:tc>
        <w:tc>
          <w:tcPr>
            <w:tcW w:type="dxa" w:w="1587"/>
          </w:tcPr>
          <w:p>
            <w:r/>
            <w:r>
              <w:rPr>
                <w:b w:val="0"/>
                <w:sz w:val="19"/>
              </w:rPr>
              <w:t>Engagement</w:t>
            </w:r>
          </w:p>
        </w:tc>
        <w:tc>
          <w:tcPr>
            <w:tcW w:type="dxa" w:w="7483"/>
          </w:tcPr>
          <w:p>
            <w:r/>
            <w:r>
              <w:rPr>
                <w:b w:val="0"/>
                <w:sz w:val="19"/>
              </w:rPr>
              <w:t>Circuit par OM : une avance CONFIRME sans avance_engagee est engagée à ce moment.</w:t>
            </w:r>
          </w:p>
        </w:tc>
      </w:tr>
      <w:tr>
        <w:tc>
          <w:tcPr>
            <w:tcW w:type="dxa" w:w="454"/>
          </w:tcPr>
          <w:p>
            <w:r/>
            <w:r>
              <w:rPr>
                <w:b w:val="0"/>
                <w:sz w:val="19"/>
              </w:rPr>
              <w:t>3</w:t>
            </w:r>
          </w:p>
        </w:tc>
        <w:tc>
          <w:tcPr>
            <w:tcW w:type="dxa" w:w="1587"/>
          </w:tcPr>
          <w:p>
            <w:r/>
            <w:r>
              <w:rPr>
                <w:b w:val="0"/>
                <w:sz w:val="19"/>
              </w:rPr>
              <w:t>Recalcul</w:t>
            </w:r>
          </w:p>
        </w:tc>
        <w:tc>
          <w:tcPr>
            <w:tcW w:type="dxa" w:w="7483"/>
          </w:tcPr>
          <w:p>
            <w:r/>
            <w:r>
              <w:rPr>
                <w:b w:val="0"/>
                <w:sz w:val="19"/>
              </w:rPr>
              <w:t>Montant au barème (lignes détaillées ou type × jours, transport conservé). Avant engagement : répartition 70/30 ; après : reliquat = total − avance_engagee (peut être négatif).</w:t>
            </w:r>
          </w:p>
        </w:tc>
      </w:tr>
      <w:tr>
        <w:tc>
          <w:tcPr>
            <w:tcW w:type="dxa" w:w="454"/>
          </w:tcPr>
          <w:p>
            <w:r/>
            <w:r>
              <w:rPr>
                <w:b w:val="0"/>
                <w:sz w:val="19"/>
              </w:rPr>
              <w:t>4</w:t>
            </w:r>
          </w:p>
        </w:tc>
        <w:tc>
          <w:tcPr>
            <w:tcW w:type="dxa" w:w="1587"/>
          </w:tcPr>
          <w:p>
            <w:r/>
            <w:r>
              <w:rPr>
                <w:b w:val="0"/>
                <w:sz w:val="19"/>
              </w:rPr>
              <w:t>Versements</w:t>
            </w:r>
          </w:p>
        </w:tc>
        <w:tc>
          <w:tcPr>
            <w:tcW w:type="dxa" w:w="7483"/>
          </w:tcPr>
          <w:p>
            <w:r/>
            <w:r>
              <w:rPr>
                <w:b w:val="0"/>
                <w:sz w:val="19"/>
              </w:rPr>
              <w:t>RELIQUAT non GENERE/CONFIRME réécrit ; négatif → A_RECOUVRER, sinon EN_ATTENTE. AVANCE réécrite seulement tant qu'elle n'est pas engagée.</w:t>
            </w:r>
          </w:p>
        </w:tc>
      </w:tr>
      <w:tr>
        <w:tc>
          <w:tcPr>
            <w:tcW w:type="dxa" w:w="454"/>
          </w:tcPr>
          <w:p>
            <w:r/>
            <w:r>
              <w:rPr>
                <w:b w:val="0"/>
                <w:sz w:val="19"/>
              </w:rPr>
              <w:t>5</w:t>
            </w:r>
          </w:p>
        </w:tc>
        <w:tc>
          <w:tcPr>
            <w:tcW w:type="dxa" w:w="1587"/>
          </w:tcPr>
          <w:p>
            <w:r/>
            <w:r>
              <w:rPr>
                <w:b w:val="0"/>
                <w:sz w:val="19"/>
              </w:rPr>
              <w:t>Statut</w:t>
            </w:r>
          </w:p>
        </w:tc>
        <w:tc>
          <w:tcPr>
            <w:tcW w:type="dxa" w:w="7483"/>
          </w:tcPr>
          <w:p>
            <w:r/>
            <w:r>
              <w:rPr>
                <w:b w:val="0"/>
                <w:sz w:val="19"/>
              </w:rPr>
              <w:t>Un OM SOLDE à qui l'amendement recrée un montant à régler redevient VALIDE ; un reliquat ramené à 0, avance payée, solde l'OM (OrdreMission::solderSiRegle).</w:t>
            </w:r>
          </w:p>
        </w:tc>
      </w:tr>
      <w:tr>
        <w:tc>
          <w:tcPr>
            <w:tcW w:type="dxa" w:w="454"/>
          </w:tcPr>
          <w:p>
            <w:r/>
            <w:r>
              <w:rPr>
                <w:b w:val="0"/>
                <w:sz w:val="19"/>
              </w:rPr>
              <w:t>6</w:t>
            </w:r>
          </w:p>
        </w:tc>
        <w:tc>
          <w:tcPr>
            <w:tcW w:type="dxa" w:w="1587"/>
          </w:tcPr>
          <w:p>
            <w:r/>
            <w:r>
              <w:rPr>
                <w:b w:val="0"/>
                <w:sz w:val="19"/>
              </w:rPr>
              <w:t>Traçabilité</w:t>
            </w:r>
          </w:p>
        </w:tc>
        <w:tc>
          <w:tcPr>
            <w:tcW w:type="dxa" w:w="7483"/>
          </w:tcPr>
          <w:p>
            <w:r/>
            <w:r>
              <w:rPr>
                <w:b w:val="0"/>
                <w:sz w:val="19"/>
              </w:rPr>
              <w:t>Ligne om_amendements (avant / après, delta, motif, auteur) + audit AMEND_OM ; notification « trop-perçu » aux détenteurs de paiements.confirmer si reliquat &lt; 0.</w:t>
            </w:r>
          </w:p>
        </w:tc>
      </w:tr>
    </w:tbl>
    <w:p/>
    <w:p>
      <w:pPr>
        <w:pStyle w:val="Heading2"/>
      </w:pPr>
      <w:r>
        <w:t>4.7 Sauvegarde et restauration de la base</w:t>
      </w:r>
    </w:p>
    <w:tbl>
      <w:tblPr>
        <w:tblStyle w:val="TableGrid"/>
        <w:tblW w:type="auto" w:w="0"/>
        <w:jc w:val="center"/>
        <w:tblLayout w:type="fixed"/>
        <w:tblLook w:firstColumn="1" w:firstRow="1" w:lastColumn="0" w:lastRow="0" w:noHBand="0" w:noVBand="1" w:val="04A0"/>
      </w:tblPr>
      <w:tblGrid>
        <w:gridCol w:w="454"/>
        <w:gridCol w:w="1587"/>
        <w:gridCol w:w="4989"/>
        <w:gridCol w:w="2494"/>
      </w:tblGrid>
      <w:tr>
        <w:tc>
          <w:tcPr>
            <w:tcW w:type="dxa" w:w="454"/>
            <w:shd w:val="clear" w:fill="1D9E4F"/>
          </w:tcPr>
          <w:p>
            <w:r/>
            <w:r>
              <w:rPr>
                <w:b/>
                <w:color w:val="FFFFFF"/>
                <w:sz w:val="20"/>
              </w:rPr>
              <w:t>#</w:t>
            </w:r>
          </w:p>
        </w:tc>
        <w:tc>
          <w:tcPr>
            <w:tcW w:type="dxa" w:w="1587"/>
            <w:shd w:val="clear" w:fill="1D9E4F"/>
          </w:tcPr>
          <w:p>
            <w:r/>
            <w:r>
              <w:rPr>
                <w:b/>
                <w:color w:val="FFFFFF"/>
                <w:sz w:val="20"/>
              </w:rPr>
              <w:t>Acteur</w:t>
            </w:r>
          </w:p>
        </w:tc>
        <w:tc>
          <w:tcPr>
            <w:tcW w:type="dxa" w:w="4989"/>
            <w:shd w:val="clear" w:fill="1D9E4F"/>
          </w:tcPr>
          <w:p>
            <w:r/>
            <w:r>
              <w:rPr>
                <w:b/>
                <w:color w:val="FFFFFF"/>
                <w:sz w:val="20"/>
              </w:rPr>
              <w:t>Action</w:t>
            </w:r>
          </w:p>
        </w:tc>
        <w:tc>
          <w:tcPr>
            <w:tcW w:type="dxa" w:w="2494"/>
            <w:shd w:val="clear" w:fill="1D9E4F"/>
          </w:tcPr>
          <w:p>
            <w:r/>
            <w:r>
              <w:rPr>
                <w:b/>
                <w:color w:val="FFFFFF"/>
                <w:sz w:val="20"/>
              </w:rPr>
              <w:t>Résultat</w:t>
            </w:r>
          </w:p>
        </w:tc>
      </w:tr>
      <w:tr>
        <w:tc>
          <w:tcPr>
            <w:tcW w:type="dxa" w:w="454"/>
          </w:tcPr>
          <w:p>
            <w:r/>
            <w:r>
              <w:rPr>
                <w:b w:val="0"/>
                <w:sz w:val="19"/>
              </w:rPr>
              <w:t>1</w:t>
            </w:r>
          </w:p>
        </w:tc>
        <w:tc>
          <w:tcPr>
            <w:tcW w:type="dxa" w:w="1587"/>
          </w:tcPr>
          <w:p>
            <w:r/>
            <w:r>
              <w:rPr>
                <w:b w:val="0"/>
                <w:sz w:val="19"/>
              </w:rPr>
              <w:t>Serveur (cron)</w:t>
            </w:r>
          </w:p>
        </w:tc>
        <w:tc>
          <w:tcPr>
            <w:tcW w:type="dxa" w:w="4989"/>
          </w:tcPr>
          <w:p>
            <w:r/>
            <w:r>
              <w:rPr>
                <w:b w:val="0"/>
                <w:sz w:val="19"/>
              </w:rPr>
              <w:t>db:backup --compress chaque jour à 02:00 (rétention 30 jours).</w:t>
            </w:r>
          </w:p>
        </w:tc>
        <w:tc>
          <w:tcPr>
            <w:tcW w:type="dxa" w:w="2494"/>
          </w:tcPr>
          <w:p>
            <w:r/>
            <w:r>
              <w:rPr>
                <w:b w:val="0"/>
                <w:sz w:val="19"/>
              </w:rPr>
              <w:t>backups/backup_AAAA-MM-JJ_HHMMSS.sql.gz</w:t>
            </w:r>
          </w:p>
        </w:tc>
      </w:tr>
      <w:tr>
        <w:tc>
          <w:tcPr>
            <w:tcW w:type="dxa" w:w="454"/>
          </w:tcPr>
          <w:p>
            <w:r/>
            <w:r>
              <w:rPr>
                <w:b w:val="0"/>
                <w:sz w:val="19"/>
              </w:rPr>
              <w:t>2</w:t>
            </w:r>
          </w:p>
        </w:tc>
        <w:tc>
          <w:tcPr>
            <w:tcW w:type="dxa" w:w="1587"/>
          </w:tcPr>
          <w:p>
            <w:r/>
            <w:r>
              <w:rPr>
                <w:b w:val="0"/>
                <w:sz w:val="19"/>
              </w:rPr>
              <w:t>SUPER_ADMIN</w:t>
            </w:r>
          </w:p>
        </w:tc>
        <w:tc>
          <w:tcPr>
            <w:tcW w:type="dxa" w:w="4989"/>
          </w:tcPr>
          <w:p>
            <w:r/>
            <w:r>
              <w:rPr>
                <w:b w:val="0"/>
                <w:sz w:val="19"/>
              </w:rPr>
              <w:t>Consulte la liste (GET /api/admin/backups, triée par date du fichier, la plus récente en tête) et télécharge une sauvegarde (GET /api/admin/backups/:name/download).</w:t>
            </w:r>
          </w:p>
        </w:tc>
        <w:tc>
          <w:tcPr>
            <w:tcW w:type="dxa" w:w="2494"/>
          </w:tcPr>
          <w:p>
            <w:r/>
            <w:r>
              <w:rPr>
                <w:b w:val="0"/>
                <w:sz w:val="19"/>
              </w:rPr>
              <w:t>Copie hors serveur</w:t>
            </w:r>
          </w:p>
        </w:tc>
      </w:tr>
      <w:tr>
        <w:tc>
          <w:tcPr>
            <w:tcW w:type="dxa" w:w="454"/>
          </w:tcPr>
          <w:p>
            <w:r/>
            <w:r>
              <w:rPr>
                <w:b w:val="0"/>
                <w:sz w:val="19"/>
              </w:rPr>
              <w:t>3</w:t>
            </w:r>
          </w:p>
        </w:tc>
        <w:tc>
          <w:tcPr>
            <w:tcW w:type="dxa" w:w="1587"/>
          </w:tcPr>
          <w:p>
            <w:r/>
            <w:r>
              <w:rPr>
                <w:b w:val="0"/>
                <w:sz w:val="19"/>
              </w:rPr>
              <w:t>SUPER_ADMIN</w:t>
            </w:r>
          </w:p>
        </w:tc>
        <w:tc>
          <w:tcPr>
            <w:tcW w:type="dxa" w:w="4989"/>
          </w:tcPr>
          <w:p>
            <w:r/>
            <w:r>
              <w:rPr>
                <w:b w:val="0"/>
                <w:sz w:val="19"/>
              </w:rPr>
              <w:t>Restaure : POST /api/admin/backups/:name/restaurer avec { confirmation: &lt;nom du fichier&gt; }.</w:t>
            </w:r>
          </w:p>
        </w:tc>
        <w:tc>
          <w:tcPr>
            <w:tcW w:type="dxa" w:w="2494"/>
          </w:tcPr>
          <w:p>
            <w:r/>
            <w:r>
              <w:rPr>
                <w:b w:val="0"/>
                <w:sz w:val="19"/>
              </w:rPr>
              <w:t>422 si le nom recopié diffère</w:t>
            </w:r>
          </w:p>
        </w:tc>
      </w:tr>
      <w:tr>
        <w:tc>
          <w:tcPr>
            <w:tcW w:type="dxa" w:w="454"/>
          </w:tcPr>
          <w:p>
            <w:r/>
            <w:r>
              <w:rPr>
                <w:b w:val="0"/>
                <w:sz w:val="19"/>
              </w:rPr>
              <w:t>4</w:t>
            </w:r>
          </w:p>
        </w:tc>
        <w:tc>
          <w:tcPr>
            <w:tcW w:type="dxa" w:w="1587"/>
          </w:tcPr>
          <w:p>
            <w:r/>
            <w:r>
              <w:rPr>
                <w:b w:val="0"/>
                <w:sz w:val="19"/>
              </w:rPr>
              <w:t>Système</w:t>
            </w:r>
          </w:p>
        </w:tc>
        <w:tc>
          <w:tcPr>
            <w:tcW w:type="dxa" w:w="4989"/>
          </w:tcPr>
          <w:p>
            <w:r/>
            <w:r>
              <w:rPr>
                <w:b w:val="0"/>
                <w:sz w:val="19"/>
              </w:rPr>
              <w:t>db:restore prend d'abord une sauvegarde de sécurité de l'état courant, décompresse (.gz) en PHP puis rejoue le dump avec le client mysql (DB_RESTORE_BINARY).</w:t>
            </w:r>
          </w:p>
        </w:tc>
        <w:tc>
          <w:tcPr>
            <w:tcW w:type="dxa" w:w="2494"/>
          </w:tcPr>
          <w:p>
            <w:r/>
            <w:r>
              <w:rPr>
                <w:b w:val="0"/>
                <w:sz w:val="19"/>
              </w:rPr>
              <w:t>Base remplacée ; opération réversible</w:t>
            </w:r>
          </w:p>
        </w:tc>
      </w:tr>
      <w:tr>
        <w:tc>
          <w:tcPr>
            <w:tcW w:type="dxa" w:w="454"/>
          </w:tcPr>
          <w:p>
            <w:r/>
            <w:r>
              <w:rPr>
                <w:b w:val="0"/>
                <w:sz w:val="19"/>
              </w:rPr>
              <w:t>5</w:t>
            </w:r>
          </w:p>
        </w:tc>
        <w:tc>
          <w:tcPr>
            <w:tcW w:type="dxa" w:w="1587"/>
          </w:tcPr>
          <w:p>
            <w:r/>
            <w:r>
              <w:rPr>
                <w:b w:val="0"/>
                <w:sz w:val="19"/>
              </w:rPr>
              <w:t>Système</w:t>
            </w:r>
          </w:p>
        </w:tc>
        <w:tc>
          <w:tcPr>
            <w:tcW w:type="dxa" w:w="4989"/>
          </w:tcPr>
          <w:p>
            <w:r/>
            <w:r>
              <w:rPr>
                <w:b w:val="0"/>
                <w:sz w:val="19"/>
              </w:rPr>
              <w:t>Purge la matrice des permissions mise en cache (PermissionRepository::vider) : role_permissions vient d'être remplacée.</w:t>
            </w:r>
          </w:p>
        </w:tc>
        <w:tc>
          <w:tcPr>
            <w:tcW w:type="dxa" w:w="2494"/>
          </w:tcPr>
          <w:p>
            <w:r/>
            <w:r>
              <w:rPr>
                <w:b w:val="0"/>
                <w:sz w:val="19"/>
              </w:rPr>
              <w:t>Droits de la sauvegarde effectifs dès la requête suivante</w:t>
            </w:r>
          </w:p>
        </w:tc>
      </w:tr>
      <w:tr>
        <w:tc>
          <w:tcPr>
            <w:tcW w:type="dxa" w:w="454"/>
          </w:tcPr>
          <w:p>
            <w:r/>
            <w:r>
              <w:rPr>
                <w:b w:val="0"/>
                <w:sz w:val="19"/>
              </w:rPr>
              <w:t>6</w:t>
            </w:r>
          </w:p>
        </w:tc>
        <w:tc>
          <w:tcPr>
            <w:tcW w:type="dxa" w:w="1587"/>
          </w:tcPr>
          <w:p>
            <w:r/>
            <w:r>
              <w:rPr>
                <w:b w:val="0"/>
                <w:sz w:val="19"/>
              </w:rPr>
              <w:t>Système</w:t>
            </w:r>
          </w:p>
        </w:tc>
        <w:tc>
          <w:tcPr>
            <w:tcW w:type="dxa" w:w="4989"/>
          </w:tcPr>
          <w:p>
            <w:r/>
            <w:r>
              <w:rPr>
                <w:b w:val="0"/>
                <w:sz w:val="19"/>
              </w:rPr>
              <w:t>Audit BACKUP_RESTORE écrit APRÈS la restauration (dans la base restaurée).</w:t>
            </w:r>
          </w:p>
        </w:tc>
        <w:tc>
          <w:tcPr>
            <w:tcW w:type="dxa" w:w="2494"/>
          </w:tcPr>
          <w:p>
            <w:r/>
            <w:r>
              <w:rPr>
                <w:b w:val="0"/>
                <w:sz w:val="19"/>
              </w:rPr>
              <w:t>Traçabilité</w:t>
            </w:r>
          </w:p>
        </w:tc>
      </w:tr>
    </w:tbl>
    <w:p/>
    <w:p>
      <w:pPr>
        <w:pStyle w:val="ListBullet"/>
      </w:pPr>
      <w:r>
        <w:t>Hors périmètre du dump : storage/app/settings.json (part d'avance, exercice, SMTP…), paraphes des signataires et fichiers produits (PDF, fichiers de paiement) sur le disque local. Une restauration ne les modifie pas ; leur sauvegarde relève de la copie de storage/.</w:t>
      </w:r>
    </w:p>
    <w:p>
      <w:pPr>
        <w:pStyle w:val="Heading1"/>
      </w:pPr>
      <w:r>
        <w:t>5. Règles métier</w:t>
      </w:r>
    </w:p>
    <w:p>
      <w:pPr>
        <w:pStyle w:val="Heading2"/>
      </w:pPr>
      <w:r>
        <w:t>5.1 Calcul du per diem</w:t>
      </w:r>
    </w:p>
    <w:p>
      <w:r>
        <w:rPr>
          <w:b/>
          <w:i w:val="0"/>
        </w:rPr>
        <w:t>Montant total = Σ (taux journalier (catégorie × zone × type) × nombre de jours) + transport.</w:t>
      </w:r>
    </w:p>
    <w:p>
      <w:pPr>
        <w:pStyle w:val="ListBullet"/>
      </w:pPr>
      <w:r>
        <w:t>Nombre de jours : décompte inclusif des dates ; règle des 12 h (période ≥ 12 h = jour entier ; retour 0-12 h = rien).</w:t>
      </w:r>
    </w:p>
    <w:p>
      <w:pPr>
        <w:pStyle w:val="ListBullet"/>
      </w:pPr>
      <w:r>
        <w:t>Avance = round(montant total × partAvance/100), 70 % par défaut ; Reliquat = montant total − avance. La part de l'avance est paramétrable (SUPER_ADMIN) et s'applique aux OM retranscrits ensuite.</w:t>
      </w:r>
    </w:p>
    <w:p>
      <w:pPr>
        <w:pStyle w:val="ListBullet"/>
      </w:pPr>
      <w:r>
        <w:t>Exonération (prise en charge par un tiers) : tous les montants à 0 (transport compris), aucun versement créé.</w:t>
      </w:r>
    </w:p>
    <w:p>
      <w:pPr>
        <w:pStyle w:val="ListBullet"/>
      </w:pPr>
      <w:r>
        <w:t>Sans aucun jour facturé (hors exonération) : per diem nul mais le transport reste dû.</w:t>
      </w:r>
    </w:p>
    <w:p>
      <w:pPr>
        <w:pStyle w:val="ListBullet"/>
      </w:pPr>
      <w:r>
        <w:t>4 zones : INTERIEUR, EXT_ZONE_I, EXT_ZONE_II, EXT_ZONE_III (II et III ont des taux identiques).</w:t>
      </w:r>
    </w:p>
    <w:p>
      <w:pPr>
        <w:pStyle w:val="ListBullet"/>
      </w:pPr>
      <w:r>
        <w:t>Contrainte type ↔ zone : repas (un/deux) ⇒ INTERIEUR uniquement ; hébergement (logé/nourri) ⇒ EXTÉRIEUR uniquement.</w:t>
      </w:r>
    </w:p>
    <w:p>
      <w:pPr>
        <w:pStyle w:val="Heading2"/>
      </w:pPr>
      <w:r>
        <w:t>5.2 Catégories d'indice (reprises de SEMO)</w:t>
      </w:r>
    </w:p>
    <w:tbl>
      <w:tblPr>
        <w:tblStyle w:val="TableGrid"/>
        <w:tblW w:type="auto" w:w="0"/>
        <w:jc w:val="center"/>
        <w:tblLayout w:type="fixed"/>
        <w:tblLook w:firstColumn="1" w:firstRow="1" w:lastColumn="0" w:lastRow="0" w:noHBand="0" w:noVBand="1" w:val="04A0"/>
      </w:tblPr>
      <w:tblGrid>
        <w:gridCol w:w="1814"/>
        <w:gridCol w:w="1701"/>
        <w:gridCol w:w="6009"/>
      </w:tblGrid>
      <w:tr>
        <w:tc>
          <w:tcPr>
            <w:tcW w:type="dxa" w:w="1814"/>
            <w:shd w:val="clear" w:fill="1D9E4F"/>
          </w:tcPr>
          <w:p>
            <w:r/>
            <w:r>
              <w:rPr>
                <w:b/>
                <w:color w:val="FFFFFF"/>
                <w:sz w:val="20"/>
              </w:rPr>
              <w:t>Catégorie</w:t>
            </w:r>
          </w:p>
        </w:tc>
        <w:tc>
          <w:tcPr>
            <w:tcW w:type="dxa" w:w="1701"/>
            <w:shd w:val="clear" w:fill="1D9E4F"/>
          </w:tcPr>
          <w:p>
            <w:r/>
            <w:r>
              <w:rPr>
                <w:b/>
                <w:color w:val="FFFFFF"/>
                <w:sz w:val="20"/>
              </w:rPr>
              <w:t>Indice</w:t>
            </w:r>
          </w:p>
        </w:tc>
        <w:tc>
          <w:tcPr>
            <w:tcW w:type="dxa" w:w="6009"/>
            <w:shd w:val="clear" w:fill="1D9E4F"/>
          </w:tcPr>
          <w:p>
            <w:r/>
            <w:r>
              <w:rPr>
                <w:b/>
                <w:color w:val="FFFFFF"/>
                <w:sz w:val="20"/>
              </w:rPr>
              <w:t>Salaire brut (formule de secours : indice = salaire × 12 / 3097)</w:t>
            </w:r>
          </w:p>
        </w:tc>
      </w:tr>
      <w:tr>
        <w:tc>
          <w:tcPr>
            <w:tcW w:type="dxa" w:w="1814"/>
          </w:tcPr>
          <w:p>
            <w:r/>
            <w:r>
              <w:rPr>
                <w:b w:val="0"/>
                <w:sz w:val="19"/>
              </w:rPr>
              <w:t>INDICE_SUP_800</w:t>
            </w:r>
          </w:p>
        </w:tc>
        <w:tc>
          <w:tcPr>
            <w:tcW w:type="dxa" w:w="1701"/>
          </w:tcPr>
          <w:p>
            <w:r/>
            <w:r>
              <w:rPr>
                <w:b w:val="0"/>
                <w:sz w:val="19"/>
              </w:rPr>
              <w:t>≥ 800</w:t>
            </w:r>
          </w:p>
        </w:tc>
        <w:tc>
          <w:tcPr>
            <w:tcW w:type="dxa" w:w="6009"/>
          </w:tcPr>
          <w:p>
            <w:r/>
            <w:r>
              <w:rPr>
                <w:b w:val="0"/>
                <w:sz w:val="19"/>
              </w:rPr>
              <w:t>≥ 372 000 FCFA</w:t>
            </w:r>
          </w:p>
        </w:tc>
      </w:tr>
      <w:tr>
        <w:tc>
          <w:tcPr>
            <w:tcW w:type="dxa" w:w="1814"/>
          </w:tcPr>
          <w:p>
            <w:r/>
            <w:r>
              <w:rPr>
                <w:b w:val="0"/>
                <w:sz w:val="19"/>
              </w:rPr>
              <w:t>INDICE_400_799</w:t>
            </w:r>
          </w:p>
        </w:tc>
        <w:tc>
          <w:tcPr>
            <w:tcW w:type="dxa" w:w="1701"/>
          </w:tcPr>
          <w:p>
            <w:r/>
            <w:r>
              <w:rPr>
                <w:b w:val="0"/>
                <w:sz w:val="19"/>
              </w:rPr>
              <w:t>400 – 799</w:t>
            </w:r>
          </w:p>
        </w:tc>
        <w:tc>
          <w:tcPr>
            <w:tcW w:type="dxa" w:w="6009"/>
          </w:tcPr>
          <w:p>
            <w:r/>
            <w:r>
              <w:rPr>
                <w:b w:val="0"/>
                <w:sz w:val="19"/>
              </w:rPr>
              <w:t>186 000 – 372 000 FCFA</w:t>
            </w:r>
          </w:p>
        </w:tc>
      </w:tr>
      <w:tr>
        <w:tc>
          <w:tcPr>
            <w:tcW w:type="dxa" w:w="1814"/>
          </w:tcPr>
          <w:p>
            <w:r/>
            <w:r>
              <w:rPr>
                <w:b w:val="0"/>
                <w:sz w:val="19"/>
              </w:rPr>
              <w:t>INDICE_INF_400</w:t>
            </w:r>
          </w:p>
        </w:tc>
        <w:tc>
          <w:tcPr>
            <w:tcW w:type="dxa" w:w="1701"/>
          </w:tcPr>
          <w:p>
            <w:r/>
            <w:r>
              <w:rPr>
                <w:b w:val="0"/>
                <w:sz w:val="19"/>
              </w:rPr>
              <w:t>&lt; 400</w:t>
            </w:r>
          </w:p>
        </w:tc>
        <w:tc>
          <w:tcPr>
            <w:tcW w:type="dxa" w:w="6009"/>
          </w:tcPr>
          <w:p>
            <w:r/>
            <w:r>
              <w:rPr>
                <w:b w:val="0"/>
                <w:sz w:val="19"/>
              </w:rPr>
              <w:t>&lt; 186 000 FCFA</w:t>
            </w:r>
          </w:p>
        </w:tc>
      </w:tr>
    </w:tbl>
    <w:p/>
    <w:p>
      <w:pPr>
        <w:pStyle w:val="Heading2"/>
      </w:pPr>
      <w:r>
        <w:t>5.3 Règles de validation principales</w:t>
      </w:r>
    </w:p>
    <w:tbl>
      <w:tblPr>
        <w:tblStyle w:val="TableGrid"/>
        <w:tblW w:type="auto" w:w="0"/>
        <w:jc w:val="center"/>
        <w:tblLayout w:type="fixed"/>
        <w:tblLook w:firstColumn="1" w:firstRow="1" w:lastColumn="0" w:lastRow="0" w:noHBand="0" w:noVBand="1" w:val="04A0"/>
      </w:tblPr>
      <w:tblGrid>
        <w:gridCol w:w="2041"/>
        <w:gridCol w:w="5443"/>
        <w:gridCol w:w="2041"/>
      </w:tblGrid>
      <w:tr>
        <w:tc>
          <w:tcPr>
            <w:tcW w:type="dxa" w:w="2041"/>
            <w:shd w:val="clear" w:fill="1D9E4F"/>
          </w:tcPr>
          <w:p>
            <w:r/>
            <w:r>
              <w:rPr>
                <w:b/>
                <w:color w:val="FFFFFF"/>
                <w:sz w:val="20"/>
              </w:rPr>
              <w:t>Règle</w:t>
            </w:r>
          </w:p>
        </w:tc>
        <w:tc>
          <w:tcPr>
            <w:tcW w:type="dxa" w:w="5443"/>
            <w:shd w:val="clear" w:fill="1D9E4F"/>
          </w:tcPr>
          <w:p>
            <w:r/>
            <w:r>
              <w:rPr>
                <w:b/>
                <w:color w:val="FFFFFF"/>
                <w:sz w:val="20"/>
              </w:rPr>
              <w:t>Description</w:t>
            </w:r>
          </w:p>
        </w:tc>
        <w:tc>
          <w:tcPr>
            <w:tcW w:type="dxa" w:w="2041"/>
            <w:shd w:val="clear" w:fill="1D9E4F"/>
          </w:tcPr>
          <w:p>
            <w:r/>
            <w:r>
              <w:rPr>
                <w:b/>
                <w:color w:val="FFFFFF"/>
                <w:sz w:val="20"/>
              </w:rPr>
              <w:t>Contrôle</w:t>
            </w:r>
          </w:p>
        </w:tc>
      </w:tr>
      <w:tr>
        <w:tc>
          <w:tcPr>
            <w:tcW w:type="dxa" w:w="2041"/>
          </w:tcPr>
          <w:p>
            <w:r/>
            <w:r>
              <w:rPr>
                <w:b w:val="0"/>
                <w:sz w:val="19"/>
              </w:rPr>
              <w:t>Référence SEMO unique</w:t>
            </w:r>
          </w:p>
        </w:tc>
        <w:tc>
          <w:tcPr>
            <w:tcW w:type="dxa" w:w="5443"/>
          </w:tcPr>
          <w:p>
            <w:r/>
            <w:r>
              <w:rPr>
                <w:b w:val="0"/>
                <w:sz w:val="19"/>
              </w:rPr>
              <w:t>Chaque OM a une référence SEMO unique (anti-doublon).</w:t>
            </w:r>
          </w:p>
        </w:tc>
        <w:tc>
          <w:tcPr>
            <w:tcW w:type="dxa" w:w="2041"/>
          </w:tcPr>
          <w:p>
            <w:r/>
            <w:r>
              <w:rPr>
                <w:b w:val="0"/>
                <w:sz w:val="19"/>
              </w:rPr>
              <w:t>API / BDD</w:t>
            </w:r>
          </w:p>
        </w:tc>
      </w:tr>
      <w:tr>
        <w:tc>
          <w:tcPr>
            <w:tcW w:type="dxa" w:w="2041"/>
          </w:tcPr>
          <w:p>
            <w:r/>
            <w:r>
              <w:rPr>
                <w:b w:val="0"/>
                <w:sz w:val="19"/>
              </w:rPr>
              <w:t>Origine SEMO</w:t>
            </w:r>
          </w:p>
        </w:tc>
        <w:tc>
          <w:tcPr>
            <w:tcW w:type="dxa" w:w="5443"/>
          </w:tcPr>
          <w:p>
            <w:r/>
            <w:r>
              <w:rPr>
                <w:b w:val="0"/>
                <w:sz w:val="19"/>
              </w:rPr>
              <w:t>Les OM sont retranscrits (statut initial IMPORTE), jamais créés à la main.</w:t>
            </w:r>
          </w:p>
        </w:tc>
        <w:tc>
          <w:tcPr>
            <w:tcW w:type="dxa" w:w="2041"/>
          </w:tcPr>
          <w:p>
            <w:r/>
            <w:r>
              <w:rPr>
                <w:b w:val="0"/>
                <w:sz w:val="19"/>
              </w:rPr>
              <w:t>API</w:t>
            </w:r>
          </w:p>
        </w:tc>
      </w:tr>
      <w:tr>
        <w:tc>
          <w:tcPr>
            <w:tcW w:type="dxa" w:w="2041"/>
          </w:tcPr>
          <w:p>
            <w:r/>
            <w:r>
              <w:rPr>
                <w:b w:val="0"/>
                <w:sz w:val="19"/>
              </w:rPr>
              <w:t>Circuit par tranche</w:t>
            </w:r>
          </w:p>
        </w:tc>
        <w:tc>
          <w:tcPr>
            <w:tcW w:type="dxa" w:w="5443"/>
          </w:tcPr>
          <w:p>
            <w:r/>
            <w:r>
              <w:rPr>
                <w:b w:val="0"/>
                <w:sz w:val="19"/>
              </w:rPr>
              <w:t>Chaque état (avances puis reliquats) passe BROUILLON → CONTROLE → VISA_DAF → VALIDE ; rejet motivé (≥ 10 car.).</w:t>
            </w:r>
          </w:p>
        </w:tc>
        <w:tc>
          <w:tcPr>
            <w:tcW w:type="dxa" w:w="2041"/>
          </w:tcPr>
          <w:p>
            <w:r/>
            <w:r>
              <w:rPr>
                <w:b w:val="0"/>
                <w:sz w:val="19"/>
              </w:rPr>
              <w:t>API</w:t>
            </w:r>
          </w:p>
        </w:tc>
      </w:tr>
      <w:tr>
        <w:tc>
          <w:tcPr>
            <w:tcW w:type="dxa" w:w="2041"/>
          </w:tcPr>
          <w:p>
            <w:r/>
            <w:r>
              <w:rPr>
                <w:b w:val="0"/>
                <w:sz w:val="19"/>
              </w:rPr>
              <w:t>Reliquats après avances</w:t>
            </w:r>
          </w:p>
        </w:tc>
        <w:tc>
          <w:tcPr>
            <w:tcW w:type="dxa" w:w="5443"/>
          </w:tcPr>
          <w:p>
            <w:r/>
            <w:r>
              <w:rPr>
                <w:b w:val="0"/>
                <w:sz w:val="19"/>
              </w:rPr>
              <w:t>L'état des reliquats n'est établi qu'une fois l'état des avances validé (422 sinon).</w:t>
            </w:r>
          </w:p>
        </w:tc>
        <w:tc>
          <w:tcPr>
            <w:tcW w:type="dxa" w:w="2041"/>
          </w:tcPr>
          <w:p>
            <w:r/>
            <w:r>
              <w:rPr>
                <w:b w:val="0"/>
                <w:sz w:val="19"/>
              </w:rPr>
              <w:t>API</w:t>
            </w:r>
          </w:p>
        </w:tc>
      </w:tr>
      <w:tr>
        <w:tc>
          <w:tcPr>
            <w:tcW w:type="dxa" w:w="2041"/>
          </w:tcPr>
          <w:p>
            <w:r/>
            <w:r>
              <w:rPr>
                <w:b w:val="0"/>
                <w:sz w:val="19"/>
              </w:rPr>
              <w:t>Séparation des tâches</w:t>
            </w:r>
          </w:p>
        </w:tc>
        <w:tc>
          <w:tcPr>
            <w:tcW w:type="dxa" w:w="5443"/>
          </w:tcPr>
          <w:p>
            <w:r/>
            <w:r>
              <w:rPr>
                <w:b w:val="0"/>
                <w:sz w:val="19"/>
              </w:rPr>
              <w:t>Trois signataires distincts : contrôleur ≠ DAF ≠ DG (option activée par défaut).</w:t>
            </w:r>
          </w:p>
        </w:tc>
        <w:tc>
          <w:tcPr>
            <w:tcW w:type="dxa" w:w="2041"/>
          </w:tcPr>
          <w:p>
            <w:r/>
            <w:r>
              <w:rPr>
                <w:b w:val="0"/>
                <w:sz w:val="19"/>
              </w:rPr>
              <w:t>API</w:t>
            </w:r>
          </w:p>
        </w:tc>
      </w:tr>
      <w:tr>
        <w:tc>
          <w:tcPr>
            <w:tcW w:type="dxa" w:w="2041"/>
          </w:tcPr>
          <w:p>
            <w:r/>
            <w:r>
              <w:rPr>
                <w:b w:val="0"/>
                <w:sz w:val="19"/>
              </w:rPr>
              <w:t>Numéro requis</w:t>
            </w:r>
          </w:p>
        </w:tc>
        <w:tc>
          <w:tcPr>
            <w:tcW w:type="dxa" w:w="5443"/>
          </w:tcPr>
          <w:p>
            <w:r/>
            <w:r>
              <w:rPr>
                <w:b w:val="0"/>
                <w:sz w:val="19"/>
              </w:rPr>
              <w:t>La validation finale du DG exige un numéro d'état (registre de l'agence).</w:t>
            </w:r>
          </w:p>
        </w:tc>
        <w:tc>
          <w:tcPr>
            <w:tcW w:type="dxa" w:w="2041"/>
          </w:tcPr>
          <w:p>
            <w:r/>
            <w:r>
              <w:rPr>
                <w:b w:val="0"/>
                <w:sz w:val="19"/>
              </w:rPr>
              <w:t>API</w:t>
            </w:r>
          </w:p>
        </w:tc>
      </w:tr>
      <w:tr>
        <w:tc>
          <w:tcPr>
            <w:tcW w:type="dxa" w:w="2041"/>
          </w:tcPr>
          <w:p>
            <w:r/>
            <w:r>
              <w:rPr>
                <w:b w:val="0"/>
                <w:sz w:val="19"/>
              </w:rPr>
              <w:t>Type ↔ zone</w:t>
            </w:r>
          </w:p>
        </w:tc>
        <w:tc>
          <w:tcPr>
            <w:tcW w:type="dxa" w:w="5443"/>
          </w:tcPr>
          <w:p>
            <w:r/>
            <w:r>
              <w:rPr>
                <w:b w:val="0"/>
                <w:sz w:val="19"/>
              </w:rPr>
              <w:t>Repas ⇒ INTERIEUR ; hébergement ⇒ EXTÉRIEUR.</w:t>
            </w:r>
          </w:p>
        </w:tc>
        <w:tc>
          <w:tcPr>
            <w:tcW w:type="dxa" w:w="2041"/>
          </w:tcPr>
          <w:p>
            <w:r/>
            <w:r>
              <w:rPr>
                <w:b w:val="0"/>
                <w:sz w:val="19"/>
              </w:rPr>
              <w:t>Formulaire + API</w:t>
            </w:r>
          </w:p>
        </w:tc>
      </w:tr>
      <w:tr>
        <w:tc>
          <w:tcPr>
            <w:tcW w:type="dxa" w:w="2041"/>
          </w:tcPr>
          <w:p>
            <w:r/>
            <w:r>
              <w:rPr>
                <w:b w:val="0"/>
                <w:sz w:val="19"/>
              </w:rPr>
              <w:t>Téléphone/opérateur</w:t>
            </w:r>
          </w:p>
        </w:tc>
        <w:tc>
          <w:tcPr>
            <w:tcW w:type="dxa" w:w="5443"/>
          </w:tcPr>
          <w:p>
            <w:r/>
            <w:r>
              <w:rPr>
                <w:b w:val="0"/>
                <w:sz w:val="19"/>
              </w:rPr>
              <w:t>Issus du référentiel agent ; cohérence numéro ↔ opérateur.</w:t>
            </w:r>
          </w:p>
        </w:tc>
        <w:tc>
          <w:tcPr>
            <w:tcW w:type="dxa" w:w="2041"/>
          </w:tcPr>
          <w:p>
            <w:r/>
            <w:r>
              <w:rPr>
                <w:b w:val="0"/>
                <w:sz w:val="19"/>
              </w:rPr>
              <w:t>API</w:t>
            </w:r>
          </w:p>
        </w:tc>
      </w:tr>
      <w:tr>
        <w:tc>
          <w:tcPr>
            <w:tcW w:type="dxa" w:w="2041"/>
          </w:tcPr>
          <w:p>
            <w:r/>
            <w:r>
              <w:rPr>
                <w:b w:val="0"/>
                <w:sz w:val="19"/>
              </w:rPr>
              <w:t>Payable si tranche VALIDE</w:t>
            </w:r>
          </w:p>
        </w:tc>
        <w:tc>
          <w:tcPr>
            <w:tcW w:type="dxa" w:w="5443"/>
          </w:tcPr>
          <w:p>
            <w:r/>
            <w:r>
              <w:rPr>
                <w:b w:val="0"/>
                <w:sz w:val="19"/>
              </w:rPr>
              <w:t>Un versement n'est payable que si l'état de SA tranche est validé par le DG.</w:t>
            </w:r>
          </w:p>
        </w:tc>
        <w:tc>
          <w:tcPr>
            <w:tcW w:type="dxa" w:w="2041"/>
          </w:tcPr>
          <w:p>
            <w:r/>
            <w:r>
              <w:rPr>
                <w:b w:val="0"/>
                <w:sz w:val="19"/>
              </w:rPr>
              <w:t>Paiement</w:t>
            </w:r>
          </w:p>
        </w:tc>
      </w:tr>
      <w:tr>
        <w:tc>
          <w:tcPr>
            <w:tcW w:type="dxa" w:w="2041"/>
          </w:tcPr>
          <w:p>
            <w:r/>
            <w:r>
              <w:rPr>
                <w:b w:val="0"/>
                <w:sz w:val="19"/>
              </w:rPr>
              <w:t>Confirmation d'un lot GENERE</w:t>
            </w:r>
          </w:p>
        </w:tc>
        <w:tc>
          <w:tcPr>
            <w:tcW w:type="dxa" w:w="5443"/>
          </w:tcPr>
          <w:p>
            <w:r/>
            <w:r>
              <w:rPr>
                <w:b w:val="0"/>
                <w:sz w:val="19"/>
              </w:rPr>
              <w:t>Seul un lot généré se confirme ; un lot en erreur est régénéré d'abord.</w:t>
            </w:r>
          </w:p>
        </w:tc>
        <w:tc>
          <w:tcPr>
            <w:tcW w:type="dxa" w:w="2041"/>
          </w:tcPr>
          <w:p>
            <w:r/>
            <w:r>
              <w:rPr>
                <w:b w:val="0"/>
                <w:sz w:val="19"/>
              </w:rPr>
              <w:t>Paiement</w:t>
            </w:r>
          </w:p>
        </w:tc>
      </w:tr>
      <w:tr>
        <w:tc>
          <w:tcPr>
            <w:tcW w:type="dxa" w:w="2041"/>
          </w:tcPr>
          <w:p>
            <w:r/>
            <w:r>
              <w:rPr>
                <w:b w:val="0"/>
                <w:sz w:val="19"/>
              </w:rPr>
              <w:t>Idempotence paiement</w:t>
            </w:r>
          </w:p>
        </w:tc>
        <w:tc>
          <w:tcPr>
            <w:tcW w:type="dxa" w:w="5443"/>
          </w:tcPr>
          <w:p>
            <w:r/>
            <w:r>
              <w:rPr>
                <w:b w:val="0"/>
                <w:sz w:val="19"/>
              </w:rPr>
              <w:t>Un versement CONFIRME, ou porté par un lot CONFIRME, n'est jamais réinclus.</w:t>
            </w:r>
          </w:p>
        </w:tc>
        <w:tc>
          <w:tcPr>
            <w:tcW w:type="dxa" w:w="2041"/>
          </w:tcPr>
          <w:p>
            <w:r/>
            <w:r>
              <w:rPr>
                <w:b w:val="0"/>
                <w:sz w:val="19"/>
              </w:rPr>
              <w:t>Paiement</w:t>
            </w:r>
          </w:p>
        </w:tc>
      </w:tr>
      <w:tr>
        <w:tc>
          <w:tcPr>
            <w:tcW w:type="dxa" w:w="2041"/>
          </w:tcPr>
          <w:p>
            <w:r/>
            <w:r>
              <w:rPr>
                <w:b w:val="0"/>
                <w:sz w:val="19"/>
              </w:rPr>
              <w:t>Un agent par mission</w:t>
            </w:r>
          </w:p>
        </w:tc>
        <w:tc>
          <w:tcPr>
            <w:tcW w:type="dxa" w:w="5443"/>
          </w:tcPr>
          <w:p>
            <w:r/>
            <w:r>
              <w:rPr>
                <w:b w:val="0"/>
                <w:sz w:val="19"/>
              </w:rPr>
              <w:t>ordres.*.agent_id distinct à la retranscription (1 OM = 1 bénéficiaire).</w:t>
            </w:r>
          </w:p>
        </w:tc>
        <w:tc>
          <w:tcPr>
            <w:tcW w:type="dxa" w:w="2041"/>
          </w:tcPr>
          <w:p>
            <w:r/>
            <w:r>
              <w:rPr>
                <w:b w:val="0"/>
                <w:sz w:val="19"/>
              </w:rPr>
              <w:t>API</w:t>
            </w:r>
          </w:p>
        </w:tc>
      </w:tr>
      <w:tr>
        <w:tc>
          <w:tcPr>
            <w:tcW w:type="dxa" w:w="2041"/>
          </w:tcPr>
          <w:p>
            <w:r/>
            <w:r>
              <w:rPr>
                <w:b w:val="0"/>
                <w:sz w:val="19"/>
              </w:rPr>
              <w:t>OM rejeté</w:t>
            </w:r>
          </w:p>
        </w:tc>
        <w:tc>
          <w:tcPr>
            <w:tcW w:type="dxa" w:w="5443"/>
          </w:tcPr>
          <w:p>
            <w:r/>
            <w:r>
              <w:rPr>
                <w:b w:val="0"/>
                <w:sz w:val="19"/>
              </w:rPr>
              <w:t>Versements EN_ATTENTE → ANNULE ; jamais repris par la validation de l'état.</w:t>
            </w:r>
          </w:p>
        </w:tc>
        <w:tc>
          <w:tcPr>
            <w:tcW w:type="dxa" w:w="2041"/>
          </w:tcPr>
          <w:p>
            <w:r/>
            <w:r>
              <w:rPr>
                <w:b w:val="0"/>
                <w:sz w:val="19"/>
              </w:rPr>
              <w:t>API</w:t>
            </w:r>
          </w:p>
        </w:tc>
      </w:tr>
      <w:tr>
        <w:tc>
          <w:tcPr>
            <w:tcW w:type="dxa" w:w="2041"/>
          </w:tcPr>
          <w:p>
            <w:r/>
            <w:r>
              <w:rPr>
                <w:b w:val="0"/>
                <w:sz w:val="19"/>
              </w:rPr>
              <w:t>Amendement</w:t>
            </w:r>
          </w:p>
        </w:tc>
        <w:tc>
          <w:tcPr>
            <w:tcW w:type="dxa" w:w="5443"/>
          </w:tcPr>
          <w:p>
            <w:r/>
            <w:r>
              <w:rPr>
                <w:b w:val="0"/>
                <w:sz w:val="19"/>
              </w:rPr>
              <w:t>Refusé tant qu'un versement de l'OM est GENERE, ou si son reliquat est CONFIRME (cf. §4.6).</w:t>
            </w:r>
          </w:p>
        </w:tc>
        <w:tc>
          <w:tcPr>
            <w:tcW w:type="dxa" w:w="2041"/>
          </w:tcPr>
          <w:p>
            <w:r/>
            <w:r>
              <w:rPr>
                <w:b w:val="0"/>
                <w:sz w:val="19"/>
              </w:rPr>
              <w:t>API</w:t>
            </w:r>
          </w:p>
        </w:tc>
      </w:tr>
      <w:tr>
        <w:tc>
          <w:tcPr>
            <w:tcW w:type="dxa" w:w="2041"/>
          </w:tcPr>
          <w:p>
            <w:r/>
            <w:r>
              <w:rPr>
                <w:b w:val="0"/>
                <w:sz w:val="19"/>
              </w:rPr>
              <w:t>Solde</w:t>
            </w:r>
          </w:p>
        </w:tc>
        <w:tc>
          <w:tcPr>
            <w:tcW w:type="dxa" w:w="5443"/>
          </w:tcPr>
          <w:p>
            <w:r/>
            <w:r>
              <w:rPr>
                <w:b w:val="0"/>
                <w:sz w:val="19"/>
              </w:rPr>
              <w:t>OM SOLDE quand tous ses versements non nuls sont CONFIRME ou RECOUVRE ; OM exonéré soldé à sa validation.</w:t>
            </w:r>
          </w:p>
        </w:tc>
        <w:tc>
          <w:tcPr>
            <w:tcW w:type="dxa" w:w="2041"/>
          </w:tcPr>
          <w:p>
            <w:r/>
            <w:r>
              <w:rPr>
                <w:b w:val="0"/>
                <w:sz w:val="19"/>
              </w:rPr>
              <w:t>API</w:t>
            </w:r>
          </w:p>
        </w:tc>
      </w:tr>
    </w:tbl>
    <w:p/>
    <w:p>
      <w:pPr>
        <w:pStyle w:val="Heading2"/>
      </w:pPr>
      <w:r>
        <w:t>5.4 Montants des états de paiement</w:t>
      </w:r>
    </w:p>
    <w:p>
      <w:pPr>
        <w:pStyle w:val="ListBullet"/>
      </w:pPr>
      <w:r>
        <w:t>État des AVANCES : montant_total = Σ avances des OM retenus (hors REJETE / ANNULE).</w:t>
      </w:r>
    </w:p>
    <w:p>
      <w:pPr>
        <w:pStyle w:val="ListBullet"/>
      </w:pPr>
      <w:r>
        <w:t>État des RELIQUATS : montant_total = Σ des reliquats POSITIFS — le montant réellement décaissé par les fichiers. Les reliquats négatifs (trop-perçus) restent visibles sur leur ligne et sont totalisés à part sur le PDF (« trop-perçus hors total, à recouvrer par retenue sur salaire »).</w:t>
      </w:r>
    </w:p>
    <w:p>
      <w:pPr>
        <w:pStyle w:val="ListBullet"/>
      </w:pPr>
      <w:r>
        <w:t>Le tableau lignes est figé au récapitulatif ; le scellé HMAC (clé APP_KEY) couvre les montants signés et la tranche.</w:t>
      </w:r>
    </w:p>
    <w:p>
      <w:pPr>
        <w:pStyle w:val="Heading1"/>
      </w:pPr>
      <w:r>
        <w:t>6. Sécurité et gestion des accès</w:t>
      </w:r>
    </w:p>
    <w:p>
      <w:pPr>
        <w:pStyle w:val="Heading2"/>
      </w:pPr>
      <w:r>
        <w:t>6.1 Modèle d'autorisation (RBAC par permission)</w:t>
      </w:r>
    </w:p>
    <w:p>
      <w:r>
        <w:rPr>
          <w:b w:val="0"/>
          <w:i w:val="0"/>
        </w:rPr>
        <w:t>L'autorisation s'appuie sur des clés de permission, et non sur la hiérarchie. Les Gates sont définies dans AuthServiceProvider (source : App\Support\Permissions) ; le middleware permission: protège les routes ; Gate::before accorde au SUPER_ADMIN un accès implicite à tout.</w:t>
      </w:r>
    </w:p>
    <w:p>
      <w:pPr>
        <w:pStyle w:val="Heading2"/>
      </w:pPr>
      <w:r>
        <w:t>6.2 Matrice des permissions</w:t>
      </w:r>
    </w:p>
    <w:p>
      <w:r>
        <w:rPr>
          <w:b w:val="0"/>
          <w:i w:val="0"/>
        </w:rPr>
        <w:t>Légende : ✔ = autorisé. Le SUPER_ADMIN dispose implicitement de toutes les permissions.</w:t>
      </w:r>
    </w:p>
    <w:tbl>
      <w:tblPr>
        <w:tblStyle w:val="TableGrid"/>
        <w:tblW w:type="auto" w:w="0"/>
        <w:jc w:val="center"/>
        <w:tblLayout w:type="fixed"/>
        <w:tblLook w:firstColumn="1" w:firstRow="1" w:lastColumn="0" w:lastRow="0" w:noHBand="0" w:noVBand="1" w:val="04A0"/>
      </w:tblPr>
      <w:tblGrid>
        <w:gridCol w:w="2721"/>
        <w:gridCol w:w="879"/>
        <w:gridCol w:w="879"/>
        <w:gridCol w:w="879"/>
        <w:gridCol w:w="879"/>
        <w:gridCol w:w="879"/>
        <w:gridCol w:w="879"/>
        <w:gridCol w:w="879"/>
      </w:tblGrid>
      <w:tr>
        <w:tc>
          <w:tcPr>
            <w:tcW w:type="dxa" w:w="2721"/>
            <w:shd w:val="clear" w:fill="1D9E4F"/>
          </w:tcPr>
          <w:p>
            <w:r/>
            <w:r>
              <w:rPr>
                <w:b/>
                <w:color w:val="FFFFFF"/>
                <w:sz w:val="20"/>
              </w:rPr>
              <w:t>Permission</w:t>
            </w:r>
          </w:p>
        </w:tc>
        <w:tc>
          <w:tcPr>
            <w:tcW w:type="dxa" w:w="879"/>
            <w:shd w:val="clear" w:fill="1D9E4F"/>
          </w:tcPr>
          <w:p>
            <w:r/>
            <w:r>
              <w:rPr>
                <w:b/>
                <w:color w:val="FFFFFF"/>
                <w:sz w:val="20"/>
              </w:rPr>
              <w:t>ADMIN</w:t>
            </w:r>
          </w:p>
        </w:tc>
        <w:tc>
          <w:tcPr>
            <w:tcW w:type="dxa" w:w="879"/>
            <w:shd w:val="clear" w:fill="1D9E4F"/>
          </w:tcPr>
          <w:p>
            <w:r/>
            <w:r>
              <w:rPr>
                <w:b/>
                <w:color w:val="FFFFFF"/>
                <w:sz w:val="20"/>
              </w:rPr>
              <w:t>GEST.</w:t>
            </w:r>
          </w:p>
        </w:tc>
        <w:tc>
          <w:tcPr>
            <w:tcW w:type="dxa" w:w="879"/>
            <w:shd w:val="clear" w:fill="1D9E4F"/>
          </w:tcPr>
          <w:p>
            <w:r/>
            <w:r>
              <w:rPr>
                <w:b/>
                <w:color w:val="FFFFFF"/>
                <w:sz w:val="20"/>
              </w:rPr>
              <w:t>FIN.</w:t>
            </w:r>
          </w:p>
        </w:tc>
        <w:tc>
          <w:tcPr>
            <w:tcW w:type="dxa" w:w="879"/>
            <w:shd w:val="clear" w:fill="1D9E4F"/>
          </w:tcPr>
          <w:p>
            <w:r/>
            <w:r>
              <w:rPr>
                <w:b/>
                <w:color w:val="FFFFFF"/>
                <w:sz w:val="20"/>
              </w:rPr>
              <w:t>CONTR.</w:t>
            </w:r>
          </w:p>
        </w:tc>
        <w:tc>
          <w:tcPr>
            <w:tcW w:type="dxa" w:w="879"/>
            <w:shd w:val="clear" w:fill="1D9E4F"/>
          </w:tcPr>
          <w:p>
            <w:r/>
            <w:r>
              <w:rPr>
                <w:b/>
                <w:color w:val="FFFFFF"/>
                <w:sz w:val="20"/>
              </w:rPr>
              <w:t>DAF</w:t>
            </w:r>
          </w:p>
        </w:tc>
        <w:tc>
          <w:tcPr>
            <w:tcW w:type="dxa" w:w="879"/>
            <w:shd w:val="clear" w:fill="1D9E4F"/>
          </w:tcPr>
          <w:p>
            <w:r/>
            <w:r>
              <w:rPr>
                <w:b/>
                <w:color w:val="FFFFFF"/>
                <w:sz w:val="20"/>
              </w:rPr>
              <w:t>DG</w:t>
            </w:r>
          </w:p>
        </w:tc>
        <w:tc>
          <w:tcPr>
            <w:tcW w:type="dxa" w:w="879"/>
            <w:shd w:val="clear" w:fill="1D9E4F"/>
          </w:tcPr>
          <w:p>
            <w:r/>
            <w:r>
              <w:rPr>
                <w:b/>
                <w:color w:val="FFFFFF"/>
                <w:sz w:val="20"/>
              </w:rPr>
              <w:t>LECT.</w:t>
            </w:r>
          </w:p>
        </w:tc>
      </w:tr>
      <w:tr>
        <w:tc>
          <w:tcPr>
            <w:tcW w:type="dxa" w:w="2721"/>
          </w:tcPr>
          <w:p>
            <w:r/>
            <w:r>
              <w:rPr>
                <w:b w:val="0"/>
                <w:sz w:val="19"/>
              </w:rPr>
              <w:t>dashboard.consulter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personnel.consulter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personnel.gerer</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om.retranscrire</w:t>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om.valider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om.viser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r>
      <w:tr>
        <w:tc>
          <w:tcPr>
            <w:tcW w:type="dxa" w:w="2721"/>
          </w:tcPr>
          <w:p>
            <w:r/>
            <w:r>
              <w:rPr>
                <w:b w:val="0"/>
                <w:sz w:val="19"/>
              </w:rPr>
              <w:t>om.approuver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r>
      <w:tr>
        <w:tc>
          <w:tcPr>
            <w:tcW w:type="dxa" w:w="2721"/>
          </w:tcPr>
          <w:p>
            <w:r/>
            <w:r>
              <w:rPr>
                <w:b w:val="0"/>
                <w:sz w:val="19"/>
              </w:rPr>
              <w:t>om.numeroter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om.rejeter</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paiements.generer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paiements.confirmer</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baremes.consulter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baremes.modifier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r>
        <w:tc>
          <w:tcPr>
            <w:tcW w:type="dxa" w:w="2721"/>
          </w:tcPr>
          <w:p>
            <w:r/>
            <w:r>
              <w:rPr>
                <w:b w:val="0"/>
                <w:sz w:val="19"/>
              </w:rPr>
              <w:t>rapports.consulter</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r>
      <w:tr>
        <w:tc>
          <w:tcPr>
            <w:tcW w:type="dxa" w:w="2721"/>
          </w:tcPr>
          <w:p>
            <w:r/>
            <w:r>
              <w:rPr>
                <w:b w:val="0"/>
                <w:sz w:val="19"/>
              </w:rPr>
              <w:t>audit.consulter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t>✔</w:t>
            </w:r>
          </w:p>
        </w:tc>
        <w:tc>
          <w:tcPr>
            <w:tcW w:type="dxa" w:w="879"/>
          </w:tcPr>
          <w:p>
            <w:r/>
            <w:r>
              <w:rPr>
                <w:b w:val="0"/>
                <w:sz w:val="19"/>
              </w:rPr>
              <w:t>✔</w:t>
            </w:r>
          </w:p>
        </w:tc>
        <w:tc>
          <w:tcPr>
            <w:tcW w:type="dxa" w:w="879"/>
          </w:tcPr>
          <w:p>
            <w:r/>
            <w:r>
              <w:rPr>
                <w:b w:val="0"/>
                <w:sz w:val="19"/>
              </w:rPr>
              <w:t>✔</w:t>
            </w:r>
          </w:p>
        </w:tc>
        <w:tc>
          <w:tcPr>
            <w:tcW w:type="dxa" w:w="879"/>
          </w:tcPr>
          <w:p>
            <w:r/>
            <w:r>
              <w:rPr>
                <w:b w:val="0"/>
                <w:sz w:val="19"/>
              </w:rPr>
            </w:r>
          </w:p>
        </w:tc>
      </w:tr>
      <w:tr>
        <w:tc>
          <w:tcPr>
            <w:tcW w:type="dxa" w:w="2721"/>
          </w:tcPr>
          <w:p>
            <w:r/>
            <w:r>
              <w:rPr>
                <w:b w:val="0"/>
                <w:sz w:val="19"/>
              </w:rPr>
              <w:t>utilisateurs.gerer</w:t>
            </w:r>
          </w:p>
        </w:tc>
        <w:tc>
          <w:tcPr>
            <w:tcW w:type="dxa" w:w="879"/>
          </w:tcPr>
          <w:p>
            <w:r/>
            <w:r>
              <w:rPr>
                <w:b w:val="0"/>
                <w:sz w:val="19"/>
              </w:rPr>
              <w:t>✔</w:t>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c>
          <w:tcPr>
            <w:tcW w:type="dxa" w:w="879"/>
          </w:tcPr>
          <w:p>
            <w:r/>
            <w:r>
              <w:rPr>
                <w:b w:val="0"/>
                <w:sz w:val="19"/>
              </w:rPr>
            </w:r>
          </w:p>
        </w:tc>
      </w:tr>
    </w:tbl>
    <w:p/>
    <w:p>
      <w:r>
        <w:rPr>
          <w:b w:val="0"/>
          <w:i/>
          <w:color w:val="4B5563"/>
        </w:rPr>
        <w:t>Permissions réservées au SUPER_ADMIN : superadmins.gerer, parametres.gerer, roles.gerer.</w:t>
      </w:r>
    </w:p>
    <w:p>
      <w:pPr>
        <w:pStyle w:val="Heading3"/>
      </w:pPr>
      <w:r>
        <w:t>6.2.1 RBAC flexible (matrice éditable à chaud)</w:t>
      </w:r>
    </w:p>
    <w:p>
      <w:pPr>
        <w:pStyle w:val="ListBullet"/>
      </w:pPr>
      <w:r>
        <w:t>Niveau 1 — profil : table role_permissions (PermissionRepository, en cache sans expiration, purgée à l'écriture et après db:restore) ; repli sur config/profils.php ; réinitialisable au défaut. Toute modification de role_permissions hors application impose une purge du cache.</w:t>
      </w:r>
    </w:p>
    <w:p>
      <w:pPr>
        <w:pStyle w:val="ListBullet"/>
      </w:pPr>
      <w:r>
        <w:t>Niveau 2 — utilisateur : table user_permissions (accords / retraits) ; effectif = base ∪ accordées − retirées.</w:t>
      </w:r>
    </w:p>
    <w:p>
      <w:pPr>
        <w:pStyle w:val="ListBullet"/>
      </w:pPr>
      <w:r>
        <w:t>Niveau 3 — rôles personnalisés : table roles (les 8 profils système ne sont ni renommables ni supprimables).</w:t>
      </w:r>
    </w:p>
    <w:p>
      <w:pPr>
        <w:pStyle w:val="ListBullet"/>
      </w:pPr>
      <w:r>
        <w:t>Garde-fous serveur : SUPER_ADMIN non éditable, clés réservées refusées, séparation ordonnateur / payeur (om.approuver ≠ paiements.generer/confirmer) contrôlée sur le profil ET sur l'effectif de chaque membre du profil édité ou réinitialisé (comptes fautifs nommés dans le 422). Écriture : roles.gerer ; lecture : utilisateurs.gerer. Audit ROLE_PERM_UPDATE / ROLE_PERM_RESET / USER_PERM_UPDATE / ROLE_CREATE / ROLE_RENAME / ROLE_DELETE.</w:t>
      </w:r>
    </w:p>
    <w:p>
      <w:pPr>
        <w:pStyle w:val="Heading2"/>
      </w:pPr>
      <w:r>
        <w:t>6.3 Mesures de sécurité applicatives</w:t>
      </w:r>
    </w:p>
    <w:p>
      <w:pPr>
        <w:pStyle w:val="ListBullet"/>
      </w:pPr>
      <w:r>
        <w:t>Authentification : tokens Laravel Sanctum (Bearer) ; révocation immédiate des sessions à la désactivation, suppression, changement de rôle ou réinitialisation de mot de passe.</w:t>
      </w:r>
    </w:p>
    <w:p>
      <w:pPr>
        <w:pStyle w:val="ListBullet"/>
      </w:pPr>
      <w:r>
        <w:t>Mots de passe : hachage bcrypt (12 tours) ; changement imposé (verrou HTTP 423) après création/réinitialisation administrative.</w:t>
      </w:r>
    </w:p>
    <w:p>
      <w:pPr>
        <w:pStyle w:val="ListBullet"/>
      </w:pPr>
      <w:r>
        <w:t>Anti-énumération : message de connexion neutre et identique quelle que soit la cause de l'échec.</w:t>
      </w:r>
    </w:p>
    <w:p>
      <w:pPr>
        <w:pStyle w:val="ListBullet"/>
      </w:pPr>
      <w:r>
        <w:t>Rate limiting dédié : login, API globale, génération de paiement et exports (throttle).</w:t>
      </w:r>
    </w:p>
    <w:p>
      <w:pPr>
        <w:pStyle w:val="ListBullet"/>
      </w:pPr>
      <w:r>
        <w:t>Protection XSS : échappement Vue + Content Security Policy durcie (anti-vol de token).</w:t>
      </w:r>
    </w:p>
    <w:p>
      <w:pPr>
        <w:pStyle w:val="ListBullet"/>
      </w:pPr>
      <w:r>
        <w:t>Injection de formule neutralisée dans les exports tableurs ; garde anti-SSRF sur la génération PDF.</w:t>
      </w:r>
    </w:p>
    <w:p>
      <w:pPr>
        <w:pStyle w:val="ListBullet"/>
      </w:pPr>
      <w:r>
        <w:t>Secret SMTP chiffré au repos et jamais réaffiché en clair (masque ********) ; déchiffré seulement au moment d'envoyer (App\Support\Messagerie). Une APP_KEY changée le rend indéchiffrable : il est alors à ressaisir.</w:t>
      </w:r>
    </w:p>
    <w:p>
      <w:pPr>
        <w:pStyle w:val="ListBullet"/>
      </w:pPr>
      <w:r>
        <w:t>Session : seul un 401 met fin à une session restaurée ; une erreur passagère ne révoque plus le jeton (§3.1).</w:t>
      </w:r>
    </w:p>
    <w:p>
      <w:pPr>
        <w:pStyle w:val="ListBullet"/>
      </w:pPr>
      <w:r>
        <w:t>Super admin protégé : il existe toujours ≥ 1 SUPER_ADMIN actif ; le dernier ne peut être supprimé, désactivé ni rétrogradé.</w:t>
      </w:r>
    </w:p>
    <w:p>
      <w:pPr>
        <w:pStyle w:val="ListBullet"/>
      </w:pPr>
      <w:r>
        <w:t>Injection SQL : prévenue par l'ORM Eloquent (requêtes préparées).</w:t>
      </w:r>
    </w:p>
    <w:p>
      <w:pPr>
        <w:pStyle w:val="ListBullet"/>
      </w:pPr>
      <w:r>
        <w:t>Toute erreur d'une route /api/* répond en JSON, même sans en-tête Accept : 401 (aucune redirection vers une page de login), 405, 404, 403, 422 et 500 (bootstrap/app.php).</w:t>
      </w:r>
    </w:p>
    <w:p>
      <w:pPr>
        <w:pStyle w:val="ListBullet"/>
      </w:pPr>
      <w:r>
        <w:t>Notifications et e-mails réservés aux comptes actifs détenant la permission de l'étape (droits effectifs) ; un compte désactivé n'en reçoit plus, le SUPER_ADMIN n'est pas visé.</w:t>
      </w:r>
    </w:p>
    <w:p>
      <w:pPr>
        <w:pStyle w:val="ListBullet"/>
      </w:pPr>
      <w:r>
        <w:t>Téléchargements (sauvegardes, exports) : basename + extension imposée, anti-traversée de répertoire ; restauration conditionnée à la recopie du nom du fichier.</w:t>
      </w:r>
    </w:p>
    <w:p>
      <w:pPr>
        <w:pStyle w:val="ListBullet"/>
      </w:pPr>
      <w:r>
        <w:t>Pagination bornée (per_page 5-100) sur les listes.</w:t>
      </w:r>
    </w:p>
    <w:p>
      <w:pPr>
        <w:pStyle w:val="Heading2"/>
      </w:pPr>
      <w:r>
        <w:t>6.4 Audit et traçabilité</w:t>
      </w:r>
    </w:p>
    <w:p>
      <w:r>
        <w:rPr>
          <w:b w:val="0"/>
          <w:i w:val="0"/>
        </w:rPr>
        <w:t>Les actions sensibles sont enregistrées dans audit_logs :</w:t>
      </w:r>
    </w:p>
    <w:tbl>
      <w:tblPr>
        <w:tblStyle w:val="TableGrid"/>
        <w:tblW w:type="auto" w:w="0"/>
        <w:jc w:val="center"/>
        <w:tblLayout w:type="fixed"/>
        <w:tblLook w:firstColumn="1" w:firstRow="1" w:lastColumn="0" w:lastRow="0" w:noHBand="0" w:noVBand="1" w:val="04A0"/>
      </w:tblPr>
      <w:tblGrid>
        <w:gridCol w:w="2608"/>
        <w:gridCol w:w="6917"/>
      </w:tblGrid>
      <w:tr>
        <w:tc>
          <w:tcPr>
            <w:tcW w:type="dxa" w:w="2608"/>
            <w:shd w:val="clear" w:fill="1D9E4F"/>
          </w:tcPr>
          <w:p>
            <w:r/>
            <w:r>
              <w:rPr>
                <w:b/>
                <w:color w:val="FFFFFF"/>
                <w:sz w:val="20"/>
              </w:rPr>
              <w:t>Champ</w:t>
            </w:r>
          </w:p>
        </w:tc>
        <w:tc>
          <w:tcPr>
            <w:tcW w:type="dxa" w:w="6917"/>
            <w:shd w:val="clear" w:fill="1D9E4F"/>
          </w:tcPr>
          <w:p>
            <w:r/>
            <w:r>
              <w:rPr>
                <w:b/>
                <w:color w:val="FFFFFF"/>
                <w:sz w:val="20"/>
              </w:rPr>
              <w:t>Description</w:t>
            </w:r>
          </w:p>
        </w:tc>
      </w:tr>
      <w:tr>
        <w:tc>
          <w:tcPr>
            <w:tcW w:type="dxa" w:w="2608"/>
          </w:tcPr>
          <w:p>
            <w:r/>
            <w:r>
              <w:rPr>
                <w:b w:val="0"/>
                <w:sz w:val="19"/>
              </w:rPr>
              <w:t>user_id</w:t>
            </w:r>
          </w:p>
        </w:tc>
        <w:tc>
          <w:tcPr>
            <w:tcW w:type="dxa" w:w="6917"/>
          </w:tcPr>
          <w:p>
            <w:r/>
            <w:r>
              <w:rPr>
                <w:b w:val="0"/>
                <w:sz w:val="19"/>
              </w:rPr>
              <w:t>Auteur de l'action (null pour un événement système).</w:t>
            </w:r>
          </w:p>
        </w:tc>
      </w:tr>
      <w:tr>
        <w:tc>
          <w:tcPr>
            <w:tcW w:type="dxa" w:w="2608"/>
          </w:tcPr>
          <w:p>
            <w:r/>
            <w:r>
              <w:rPr>
                <w:b w:val="0"/>
                <w:sz w:val="19"/>
              </w:rPr>
              <w:t>action</w:t>
            </w:r>
          </w:p>
        </w:tc>
        <w:tc>
          <w:tcPr>
            <w:tcW w:type="dxa" w:w="6917"/>
          </w:tcPr>
          <w:p>
            <w:r/>
            <w:r>
              <w:rPr>
                <w:b w:val="0"/>
                <w:sz w:val="19"/>
              </w:rPr>
              <w:t>Type d'action : LOGIN, PWD_CHANGE, PWD_RESET ; IMPORT_OM / VALIDATE_OM / REJECT_OM / AMEND_OM ; RECAP_ETAT / NUMERO_ETAT / CONTROL_ETAT / VISA_DAF_ETAT / APPROVE_DG_ETAT / REJECT_ETAT ; GENERATE_LOT / CONFIRM_LOT / ERROR_LOT / RECOUVRER_VERSEMENT ; CREATE/UPDATE/DELETE_BAREME ; CREATE/UPDATE/DELETE/ACTIVATE/DEACTIVATE/CHANGE_ROLE/RESET_PASSWORD_USER ; ROLE_* / USER_PERM_UPDATE ; BACKUP_RESTORE. (VERIFY_OM / VISA_DAF_OM / APPROVE_DG_OM : codes historiques, conservés au journal.)</w:t>
            </w:r>
          </w:p>
        </w:tc>
      </w:tr>
      <w:tr>
        <w:tc>
          <w:tcPr>
            <w:tcW w:type="dxa" w:w="2608"/>
          </w:tcPr>
          <w:p>
            <w:r/>
            <w:r>
              <w:rPr>
                <w:b w:val="0"/>
                <w:sz w:val="19"/>
              </w:rPr>
              <w:t>entite / entite_id</w:t>
            </w:r>
          </w:p>
        </w:tc>
        <w:tc>
          <w:tcPr>
            <w:tcW w:type="dxa" w:w="6917"/>
          </w:tcPr>
          <w:p>
            <w:r/>
            <w:r>
              <w:rPr>
                <w:b w:val="0"/>
                <w:sz w:val="19"/>
              </w:rPr>
              <w:t>Entité concernée (session, ordre_mission, etat_paiement, lot_paiement, versement, bareme, user, role, backup) et son id.</w:t>
            </w:r>
          </w:p>
        </w:tc>
      </w:tr>
      <w:tr>
        <w:tc>
          <w:tcPr>
            <w:tcW w:type="dxa" w:w="2608"/>
          </w:tcPr>
          <w:p>
            <w:r/>
            <w:r>
              <w:rPr>
                <w:b w:val="0"/>
                <w:sz w:val="19"/>
              </w:rPr>
              <w:t>donnees</w:t>
            </w:r>
          </w:p>
        </w:tc>
        <w:tc>
          <w:tcPr>
            <w:tcW w:type="dxa" w:w="6917"/>
          </w:tcPr>
          <w:p>
            <w:r/>
            <w:r>
              <w:rPr>
                <w:b w:val="0"/>
                <w:sz w:val="19"/>
              </w:rPr>
              <w:t>Contexte de l'action (JSON) : montants, tranche, ancien/nouveau taux, etc.</w:t>
            </w:r>
          </w:p>
        </w:tc>
      </w:tr>
      <w:tr>
        <w:tc>
          <w:tcPr>
            <w:tcW w:type="dxa" w:w="2608"/>
          </w:tcPr>
          <w:p>
            <w:r/>
            <w:r>
              <w:rPr>
                <w:b w:val="0"/>
                <w:sz w:val="19"/>
              </w:rPr>
              <w:t>ip_address</w:t>
            </w:r>
          </w:p>
        </w:tc>
        <w:tc>
          <w:tcPr>
            <w:tcW w:type="dxa" w:w="6917"/>
          </w:tcPr>
          <w:p>
            <w:r/>
            <w:r>
              <w:rPr>
                <w:b w:val="0"/>
                <w:sz w:val="19"/>
              </w:rPr>
              <w:t>Adresse IP d'origine de la requête.</w:t>
            </w:r>
          </w:p>
        </w:tc>
      </w:tr>
      <w:tr>
        <w:tc>
          <w:tcPr>
            <w:tcW w:type="dxa" w:w="2608"/>
          </w:tcPr>
          <w:p>
            <w:r/>
            <w:r>
              <w:rPr>
                <w:b w:val="0"/>
                <w:sz w:val="19"/>
              </w:rPr>
              <w:t>created_at</w:t>
            </w:r>
          </w:p>
        </w:tc>
        <w:tc>
          <w:tcPr>
            <w:tcW w:type="dxa" w:w="6917"/>
          </w:tcPr>
          <w:p>
            <w:r/>
            <w:r>
              <w:rPr>
                <w:b w:val="0"/>
                <w:sz w:val="19"/>
              </w:rPr>
              <w:t>Horodatage précis (table sans updated_at).</w:t>
            </w:r>
          </w:p>
        </w:tc>
      </w:tr>
    </w:tbl>
    <w:p/>
    <w:p>
      <w:r>
        <w:rPr>
          <w:b w:val="0"/>
          <w:i/>
          <w:color w:val="4B5563"/>
        </w:rPr>
        <w:t>Consultation (ADMIN / CONTROLEUR) : filtres par action, par entité et par plage de dates (Du / Au).</w:t>
      </w:r>
    </w:p>
    <w:p>
      <w:pPr>
        <w:pStyle w:val="Heading1"/>
      </w:pPr>
      <w:r>
        <w:t>7. Référence API</w:t>
      </w:r>
    </w:p>
    <w:p>
      <w:pPr>
        <w:pStyle w:val="Heading2"/>
      </w:pPr>
      <w:r>
        <w:t>7.1 Base et authentification</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Conventions : </w:t>
            </w:r>
            <w:r>
              <w:rPr>
                <w:sz w:val="20"/>
              </w:rPr>
              <w:t>Préfixe : /api. Authentification : header Authorization: Bearer {token}. Format JSON. Autorisation par middleware permission:{clé}. Throttling sur login, API, paiement et export. Référence exhaustive : backend/docs/openapi.yaml (OpenAPI 3, 96 opérations, chacune avec sa clé x-permission) ; OpenApiTest vérifie que chaque route y figure, sans opération en trop, avec la permission exigée par le middleware. Le 25/10/2026, le document a été validé OpenAPI 3.0.3 et les réponses réelles confrontées aux schémas (routes GET et parcours d'écriture complet). Les tableaux ci-dessous en sont un résumé.</w:t>
            </w:r>
          </w:p>
        </w:tc>
      </w:tr>
    </w:tbl>
    <w:p/>
    <w:p>
      <w:pPr>
        <w:pStyle w:val="Heading2"/>
      </w:pPr>
      <w:r>
        <w:t>7.2 Authentification &amp; compte</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POST</w:t>
            </w:r>
          </w:p>
        </w:tc>
        <w:tc>
          <w:tcPr>
            <w:tcW w:type="dxa" w:w="4309"/>
          </w:tcPr>
          <w:p>
            <w:r/>
            <w:r>
              <w:rPr>
                <w:b w:val="0"/>
                <w:sz w:val="19"/>
              </w:rPr>
              <w:t>/api/auth/login</w:t>
            </w:r>
          </w:p>
        </w:tc>
        <w:tc>
          <w:tcPr>
            <w:tcW w:type="dxa" w:w="4082"/>
          </w:tcPr>
          <w:p>
            <w:r/>
            <w:r>
              <w:rPr>
                <w:b w:val="0"/>
                <w:sz w:val="19"/>
              </w:rPr>
              <w:t>Connexion → { token, user, permissions[] }</w:t>
            </w:r>
          </w:p>
        </w:tc>
      </w:tr>
      <w:tr>
        <w:tc>
          <w:tcPr>
            <w:tcW w:type="dxa" w:w="1134"/>
          </w:tcPr>
          <w:p>
            <w:r/>
            <w:r>
              <w:rPr>
                <w:b w:val="0"/>
                <w:sz w:val="19"/>
              </w:rPr>
              <w:t>POST</w:t>
            </w:r>
          </w:p>
        </w:tc>
        <w:tc>
          <w:tcPr>
            <w:tcW w:type="dxa" w:w="4309"/>
          </w:tcPr>
          <w:p>
            <w:r/>
            <w:r>
              <w:rPr>
                <w:b w:val="0"/>
                <w:sz w:val="19"/>
              </w:rPr>
              <w:t>/api/auth/logout</w:t>
            </w:r>
          </w:p>
        </w:tc>
        <w:tc>
          <w:tcPr>
            <w:tcW w:type="dxa" w:w="4082"/>
          </w:tcPr>
          <w:p>
            <w:r/>
            <w:r>
              <w:rPr>
                <w:b w:val="0"/>
                <w:sz w:val="19"/>
              </w:rPr>
              <w:t>Déconnexion (révoque le token)</w:t>
            </w:r>
          </w:p>
        </w:tc>
      </w:tr>
      <w:tr>
        <w:tc>
          <w:tcPr>
            <w:tcW w:type="dxa" w:w="1134"/>
          </w:tcPr>
          <w:p>
            <w:r/>
            <w:r>
              <w:rPr>
                <w:b w:val="0"/>
                <w:sz w:val="19"/>
              </w:rPr>
              <w:t>GET</w:t>
            </w:r>
          </w:p>
        </w:tc>
        <w:tc>
          <w:tcPr>
            <w:tcW w:type="dxa" w:w="4309"/>
          </w:tcPr>
          <w:p>
            <w:r/>
            <w:r>
              <w:rPr>
                <w:b w:val="0"/>
                <w:sz w:val="19"/>
              </w:rPr>
              <w:t>/api/auth/me</w:t>
            </w:r>
          </w:p>
        </w:tc>
        <w:tc>
          <w:tcPr>
            <w:tcW w:type="dxa" w:w="4082"/>
          </w:tcPr>
          <w:p>
            <w:r/>
            <w:r>
              <w:rPr>
                <w:b w:val="0"/>
                <w:sz w:val="19"/>
              </w:rPr>
              <w:t>Utilisateur connecté</w:t>
            </w:r>
          </w:p>
        </w:tc>
      </w:tr>
      <w:tr>
        <w:tc>
          <w:tcPr>
            <w:tcW w:type="dxa" w:w="1134"/>
          </w:tcPr>
          <w:p>
            <w:r/>
            <w:r>
              <w:rPr>
                <w:b w:val="0"/>
                <w:sz w:val="19"/>
              </w:rPr>
              <w:t>GET</w:t>
            </w:r>
          </w:p>
        </w:tc>
        <w:tc>
          <w:tcPr>
            <w:tcW w:type="dxa" w:w="4309"/>
          </w:tcPr>
          <w:p>
            <w:r/>
            <w:r>
              <w:rPr>
                <w:b w:val="0"/>
                <w:sz w:val="19"/>
              </w:rPr>
              <w:t>/api/auth/me/permissions</w:t>
            </w:r>
          </w:p>
        </w:tc>
        <w:tc>
          <w:tcPr>
            <w:tcW w:type="dxa" w:w="4082"/>
          </w:tcPr>
          <w:p>
            <w:r/>
            <w:r>
              <w:rPr>
                <w:b w:val="0"/>
                <w:sz w:val="19"/>
              </w:rPr>
              <w:t>Permissions effectives (pilote l'UI)</w:t>
            </w:r>
          </w:p>
        </w:tc>
      </w:tr>
      <w:tr>
        <w:tc>
          <w:tcPr>
            <w:tcW w:type="dxa" w:w="1134"/>
          </w:tcPr>
          <w:p>
            <w:r/>
            <w:r>
              <w:rPr>
                <w:b w:val="0"/>
                <w:sz w:val="19"/>
              </w:rPr>
              <w:t>POST</w:t>
            </w:r>
          </w:p>
        </w:tc>
        <w:tc>
          <w:tcPr>
            <w:tcW w:type="dxa" w:w="4309"/>
          </w:tcPr>
          <w:p>
            <w:r/>
            <w:r>
              <w:rPr>
                <w:b w:val="0"/>
                <w:sz w:val="19"/>
              </w:rPr>
              <w:t>/api/auth/mot-de-passe/changer</w:t>
            </w:r>
          </w:p>
        </w:tc>
        <w:tc>
          <w:tcPr>
            <w:tcW w:type="dxa" w:w="4082"/>
          </w:tcPr>
          <w:p>
            <w:r/>
            <w:r>
              <w:rPr>
                <w:b w:val="0"/>
                <w:sz w:val="19"/>
              </w:rPr>
              <w:t>Changement de mot de passe par l'utilisateur</w:t>
            </w:r>
          </w:p>
        </w:tc>
      </w:tr>
      <w:tr>
        <w:tc>
          <w:tcPr>
            <w:tcW w:type="dxa" w:w="1134"/>
          </w:tcPr>
          <w:p>
            <w:r/>
            <w:r>
              <w:rPr>
                <w:b w:val="0"/>
                <w:sz w:val="19"/>
              </w:rPr>
              <w:t>POST</w:t>
            </w:r>
          </w:p>
        </w:tc>
        <w:tc>
          <w:tcPr>
            <w:tcW w:type="dxa" w:w="4309"/>
          </w:tcPr>
          <w:p>
            <w:r/>
            <w:r>
              <w:rPr>
                <w:b w:val="0"/>
                <w:sz w:val="19"/>
              </w:rPr>
              <w:t>/api/auth/mot-de-passe/email | reset</w:t>
            </w:r>
          </w:p>
        </w:tc>
        <w:tc>
          <w:tcPr>
            <w:tcW w:type="dxa" w:w="4082"/>
          </w:tcPr>
          <w:p>
            <w:r/>
            <w:r>
              <w:rPr>
                <w:b w:val="0"/>
                <w:sz w:val="19"/>
              </w:rPr>
              <w:t>Lien de réinitialisation / réinitialisation</w:t>
            </w:r>
          </w:p>
        </w:tc>
      </w:tr>
    </w:tbl>
    <w:p/>
    <w:p>
      <w:pPr>
        <w:pStyle w:val="Heading2"/>
      </w:pPr>
      <w:r>
        <w:t>7.3 Agents, missions &amp; ordres de mission</w:t>
      </w:r>
    </w:p>
    <w:tbl>
      <w:tblPr>
        <w:tblStyle w:val="TableGrid"/>
        <w:tblW w:type="auto" w:w="0"/>
        <w:jc w:val="center"/>
        <w:tblLayout w:type="fixed"/>
        <w:tblLook w:firstColumn="1" w:firstRow="1" w:lastColumn="0" w:lastRow="0" w:noHBand="0" w:noVBand="1" w:val="04A0"/>
      </w:tblPr>
      <w:tblGrid>
        <w:gridCol w:w="1134"/>
        <w:gridCol w:w="4309"/>
        <w:gridCol w:w="4082"/>
      </w:tblGrid>
      <w:tr>
        <w:tc>
          <w:tcPr>
            <w:tcW w:type="dxa" w:w="1134"/>
            <w:shd w:val="clear" w:fill="1D9E4F"/>
          </w:tcPr>
          <w:p>
            <w:r/>
            <w:r>
              <w:rPr>
                <w:b/>
                <w:color w:val="FFFFFF"/>
                <w:sz w:val="20"/>
              </w:rPr>
              <w:t>Méthode</w:t>
            </w:r>
          </w:p>
        </w:tc>
        <w:tc>
          <w:tcPr>
            <w:tcW w:type="dxa" w:w="4309"/>
            <w:shd w:val="clear" w:fill="1D9E4F"/>
          </w:tcPr>
          <w:p>
            <w:r/>
            <w:r>
              <w:rPr>
                <w:b/>
                <w:color w:val="FFFFFF"/>
                <w:sz w:val="20"/>
              </w:rPr>
              <w:t>URL</w:t>
            </w:r>
          </w:p>
        </w:tc>
        <w:tc>
          <w:tcPr>
            <w:tcW w:type="dxa" w:w="4082"/>
            <w:shd w:val="clear" w:fill="1D9E4F"/>
          </w:tcPr>
          <w:p>
            <w:r/>
            <w:r>
              <w:rPr>
                <w:b/>
                <w:color w:val="FFFFFF"/>
                <w:sz w:val="20"/>
              </w:rPr>
              <w:t>Description</w:t>
            </w:r>
          </w:p>
        </w:tc>
      </w:tr>
      <w:tr>
        <w:tc>
          <w:tcPr>
            <w:tcW w:type="dxa" w:w="1134"/>
          </w:tcPr>
          <w:p>
            <w:r/>
            <w:r>
              <w:rPr>
                <w:b w:val="0"/>
                <w:sz w:val="19"/>
              </w:rPr>
              <w:t>GET</w:t>
            </w:r>
          </w:p>
        </w:tc>
        <w:tc>
          <w:tcPr>
            <w:tcW w:type="dxa" w:w="4309"/>
          </w:tcPr>
          <w:p>
            <w:r/>
            <w:r>
              <w:rPr>
                <w:b w:val="0"/>
                <w:sz w:val="19"/>
              </w:rPr>
              <w:t>/api/agents</w:t>
            </w:r>
          </w:p>
        </w:tc>
        <w:tc>
          <w:tcPr>
            <w:tcW w:type="dxa" w:w="4082"/>
          </w:tcPr>
          <w:p>
            <w:r/>
            <w:r>
              <w:rPr>
                <w:b w:val="0"/>
                <w:sz w:val="19"/>
              </w:rPr>
              <w:t>Liste filtrée (search, catégorie, opérateur, actif)</w:t>
            </w:r>
          </w:p>
        </w:tc>
      </w:tr>
      <w:tr>
        <w:tc>
          <w:tcPr>
            <w:tcW w:type="dxa" w:w="1134"/>
          </w:tcPr>
          <w:p>
            <w:r/>
            <w:r>
              <w:rPr>
                <w:b w:val="0"/>
                <w:sz w:val="19"/>
              </w:rPr>
              <w:t>POST</w:t>
            </w:r>
          </w:p>
        </w:tc>
        <w:tc>
          <w:tcPr>
            <w:tcW w:type="dxa" w:w="4309"/>
          </w:tcPr>
          <w:p>
            <w:r/>
            <w:r>
              <w:rPr>
                <w:b w:val="0"/>
                <w:sz w:val="19"/>
              </w:rPr>
              <w:t>/api/agents | /import</w:t>
            </w:r>
          </w:p>
        </w:tc>
        <w:tc>
          <w:tcPr>
            <w:tcW w:type="dxa" w:w="4082"/>
          </w:tcPr>
          <w:p>
            <w:r/>
            <w:r>
              <w:rPr>
                <w:b w:val="0"/>
                <w:sz w:val="19"/>
              </w:rPr>
              <w:t>Création / import (personnel.gerer)</w:t>
            </w:r>
          </w:p>
        </w:tc>
      </w:tr>
      <w:tr>
        <w:tc>
          <w:tcPr>
            <w:tcW w:type="dxa" w:w="1134"/>
          </w:tcPr>
          <w:p>
            <w:r/>
            <w:r>
              <w:rPr>
                <w:b w:val="0"/>
                <w:sz w:val="19"/>
              </w:rPr>
              <w:t>POST</w:t>
            </w:r>
          </w:p>
        </w:tc>
        <w:tc>
          <w:tcPr>
            <w:tcW w:type="dxa" w:w="4309"/>
          </w:tcPr>
          <w:p>
            <w:r/>
            <w:r>
              <w:rPr>
                <w:b w:val="0"/>
                <w:sz w:val="19"/>
              </w:rPr>
              <w:t>/api/missions</w:t>
            </w:r>
          </w:p>
        </w:tc>
        <w:tc>
          <w:tcPr>
            <w:tcW w:type="dxa" w:w="4082"/>
          </w:tcPr>
          <w:p>
            <w:r/>
            <w:r>
              <w:rPr>
                <w:b w:val="0"/>
                <w:sz w:val="19"/>
              </w:rPr>
              <w:t>Retranscription : mission + N OM (om.retranscrire)</w:t>
            </w:r>
          </w:p>
        </w:tc>
      </w:tr>
      <w:tr>
        <w:tc>
          <w:tcPr>
            <w:tcW w:type="dxa" w:w="1134"/>
          </w:tcPr>
          <w:p>
            <w:r/>
            <w:r>
              <w:rPr>
                <w:b w:val="0"/>
                <w:sz w:val="19"/>
              </w:rPr>
              <w:t>GET</w:t>
            </w:r>
          </w:p>
        </w:tc>
        <w:tc>
          <w:tcPr>
            <w:tcW w:type="dxa" w:w="4309"/>
          </w:tcPr>
          <w:p>
            <w:r/>
            <w:r>
              <w:rPr>
                <w:b w:val="0"/>
                <w:sz w:val="19"/>
              </w:rPr>
              <w:t>/api/missions</w:t>
            </w:r>
          </w:p>
        </w:tc>
        <w:tc>
          <w:tcPr>
            <w:tcW w:type="dxa" w:w="4082"/>
          </w:tcPr>
          <w:p>
            <w:r/>
            <w:r>
              <w:rPr>
                <w:b w:val="0"/>
                <w:sz w:val="19"/>
              </w:rPr>
              <w:t>Liste des missions avec l'avancement de leurs deux états (om.consulter ; per_page ≤ 100, défaut 20)</w:t>
            </w:r>
          </w:p>
        </w:tc>
      </w:tr>
      <w:tr>
        <w:tc>
          <w:tcPr>
            <w:tcW w:type="dxa" w:w="1134"/>
          </w:tcPr>
          <w:p>
            <w:r/>
            <w:r>
              <w:rPr>
                <w:b w:val="0"/>
                <w:sz w:val="19"/>
              </w:rPr>
              <w:t>GET</w:t>
            </w:r>
          </w:p>
        </w:tc>
        <w:tc>
          <w:tcPr>
            <w:tcW w:type="dxa" w:w="4309"/>
          </w:tcPr>
          <w:p>
            <w:r/>
            <w:r>
              <w:rPr>
                <w:b w:val="0"/>
                <w:sz w:val="19"/>
              </w:rPr>
              <w:t>/api/ordres | /ordres/:id</w:t>
            </w:r>
          </w:p>
        </w:tc>
        <w:tc>
          <w:tcPr>
            <w:tcW w:type="dxa" w:w="4082"/>
          </w:tcPr>
          <w:p>
            <w:r/>
            <w:r>
              <w:rPr>
                <w:b w:val="0"/>
                <w:sz w:val="19"/>
              </w:rPr>
              <w:t>Liste filtrée (opérateur = celui du versement) / détail d'un OM</w:t>
            </w:r>
          </w:p>
        </w:tc>
      </w:tr>
      <w:tr>
        <w:tc>
          <w:tcPr>
            <w:tcW w:type="dxa" w:w="1134"/>
          </w:tcPr>
          <w:p>
            <w:r/>
            <w:r>
              <w:rPr>
                <w:b w:val="0"/>
                <w:sz w:val="19"/>
              </w:rPr>
              <w:t>POST</w:t>
            </w:r>
          </w:p>
        </w:tc>
        <w:tc>
          <w:tcPr>
            <w:tcW w:type="dxa" w:w="4309"/>
          </w:tcPr>
          <w:p>
            <w:r/>
            <w:r>
              <w:rPr>
                <w:b w:val="0"/>
                <w:sz w:val="19"/>
              </w:rPr>
              <w:t>/api/ordres/:id/valider | /rejeter</w:t>
            </w:r>
          </w:p>
        </w:tc>
        <w:tc>
          <w:tcPr>
            <w:tcW w:type="dxa" w:w="4082"/>
          </w:tcPr>
          <w:p>
            <w:r/>
            <w:r>
              <w:rPr>
                <w:b w:val="0"/>
                <w:sz w:val="19"/>
              </w:rPr>
              <w:t>Circuit par OM, missions sans état (om.valider / om.rejeter ; rejet : versements → ANNULE)</w:t>
            </w:r>
          </w:p>
        </w:tc>
      </w:tr>
      <w:tr>
        <w:tc>
          <w:tcPr>
            <w:tcW w:type="dxa" w:w="1134"/>
          </w:tcPr>
          <w:p>
            <w:r/>
            <w:r>
              <w:rPr>
                <w:b w:val="0"/>
                <w:sz w:val="19"/>
              </w:rPr>
              <w:t>POST</w:t>
            </w:r>
          </w:p>
        </w:tc>
        <w:tc>
          <w:tcPr>
            <w:tcW w:type="dxa" w:w="4309"/>
          </w:tcPr>
          <w:p>
            <w:r/>
            <w:r>
              <w:rPr>
                <w:b w:val="0"/>
                <w:sz w:val="19"/>
              </w:rPr>
              <w:t>/api/ordres/:id/amender</w:t>
            </w:r>
          </w:p>
        </w:tc>
        <w:tc>
          <w:tcPr>
            <w:tcW w:type="dxa" w:w="4082"/>
          </w:tcPr>
          <w:p>
            <w:r/>
            <w:r>
              <w:rPr>
                <w:b w:val="0"/>
                <w:sz w:val="19"/>
              </w:rPr>
              <w:t>Amendement { nb_jours? | lignes?, motif } (om.retranscrire)</w:t>
            </w:r>
          </w:p>
        </w:tc>
      </w:tr>
      <w:tr>
        <w:tc>
          <w:tcPr>
            <w:tcW w:type="dxa" w:w="1134"/>
          </w:tcPr>
          <w:p>
            <w:r/>
            <w:r>
              <w:rPr>
                <w:b w:val="0"/>
                <w:sz w:val="19"/>
              </w:rPr>
              <w:t>GET</w:t>
            </w:r>
          </w:p>
        </w:tc>
        <w:tc>
          <w:tcPr>
            <w:tcW w:type="dxa" w:w="4309"/>
          </w:tcPr>
          <w:p>
            <w:r/>
            <w:r>
              <w:rPr>
                <w:b w:val="0"/>
                <w:sz w:val="19"/>
              </w:rPr>
              <w:t>/api/ordres/:id/pdf | /pdf/download | /pdf/brouillon</w:t>
            </w:r>
          </w:p>
        </w:tc>
        <w:tc>
          <w:tcPr>
            <w:tcW w:type="dxa" w:w="4082"/>
          </w:tcPr>
          <w:p>
            <w:r/>
            <w:r>
              <w:rPr>
                <w:b w:val="0"/>
                <w:sz w:val="19"/>
              </w:rPr>
              <w:t>PDF officiel / brouillon de l'OM</w:t>
            </w:r>
          </w:p>
        </w:tc>
      </w:tr>
      <w:tr>
        <w:tc>
          <w:tcPr>
            <w:tcW w:type="dxa" w:w="1134"/>
          </w:tcPr>
          <w:p>
            <w:r/>
            <w:r>
              <w:rPr>
                <w:b w:val="0"/>
                <w:sz w:val="19"/>
              </w:rPr>
              <w:t>GET</w:t>
            </w:r>
          </w:p>
        </w:tc>
        <w:tc>
          <w:tcPr>
            <w:tcW w:type="dxa" w:w="4309"/>
          </w:tcPr>
          <w:p>
            <w:r/>
            <w:r>
              <w:rPr>
                <w:b w:val="0"/>
                <w:sz w:val="19"/>
              </w:rPr>
              <w:t>/api/ordres/:id/historique</w:t>
            </w:r>
          </w:p>
        </w:tc>
        <w:tc>
          <w:tcPr>
            <w:tcW w:type="dxa" w:w="4082"/>
          </w:tcPr>
          <w:p>
            <w:r/>
            <w:r>
              <w:rPr>
                <w:b w:val="0"/>
                <w:sz w:val="19"/>
              </w:rPr>
              <w:t>Journal d'audit de l'OM</w:t>
            </w:r>
          </w:p>
        </w:tc>
      </w:tr>
    </w:tbl>
    <w:p/>
    <w:p>
      <w:pPr>
        <w:pStyle w:val="Heading3"/>
      </w:pPr>
      <w:r>
        <w:t>7.3.1 État de paiement (circuit de validation)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/api/etats</w:t>
            </w:r>
          </w:p>
        </w:tc>
        <w:tc>
          <w:tcPr>
            <w:tcW w:type="dxa" w:w="3969"/>
          </w:tcPr>
          <w:p>
            <w:r/>
            <w:r>
              <w:rPr>
                <w:b w:val="0"/>
                <w:sz w:val="19"/>
              </w:rPr>
              <w:t>File de travail : états filtrables par statut et tranche (om.consulter ; per_page ≤ 100)</w:t>
            </w:r>
          </w:p>
        </w:tc>
      </w:tr>
      <w:tr>
        <w:tc>
          <w:tcPr>
            <w:tcW w:type="dxa" w:w="1134"/>
          </w:tcPr>
          <w:p>
            <w:r/>
            <w:r>
              <w:rPr>
                <w:b w:val="0"/>
                <w:sz w:val="19"/>
              </w:rPr>
              <w:t>GET</w:t>
            </w:r>
          </w:p>
        </w:tc>
        <w:tc>
          <w:tcPr>
            <w:tcW w:type="dxa" w:w="4422"/>
          </w:tcPr>
          <w:p>
            <w:r/>
            <w:r>
              <w:rPr>
                <w:b w:val="0"/>
                <w:sz w:val="19"/>
              </w:rPr>
              <w:t>/api/missions/:id/etat</w:t>
            </w:r>
          </w:p>
        </w:tc>
        <w:tc>
          <w:tcPr>
            <w:tcW w:type="dxa" w:w="3969"/>
          </w:tcPr>
          <w:p>
            <w:r/>
            <w:r>
              <w:rPr>
                <w:b w:val="0"/>
                <w:sz w:val="19"/>
              </w:rPr>
              <w:t>États de la mission par tranche : { avance, reliquat } (null si aucun)</w:t>
            </w:r>
          </w:p>
        </w:tc>
      </w:tr>
      <w:tr>
        <w:tc>
          <w:tcPr>
            <w:tcW w:type="dxa" w:w="1134"/>
          </w:tcPr>
          <w:p>
            <w:r/>
            <w:r>
              <w:rPr>
                <w:b w:val="0"/>
                <w:sz w:val="19"/>
              </w:rPr>
              <w:t>POST</w:t>
            </w:r>
          </w:p>
        </w:tc>
        <w:tc>
          <w:tcPr>
            <w:tcW w:type="dxa" w:w="4422"/>
          </w:tcPr>
          <w:p>
            <w:r/>
            <w:r>
              <w:rPr>
                <w:b w:val="0"/>
                <w:sz w:val="19"/>
              </w:rPr>
              <w:t>/api/missions/:id/etat/recapituler</w:t>
            </w:r>
          </w:p>
        </w:tc>
        <w:tc>
          <w:tcPr>
            <w:tcW w:type="dxa" w:w="3969"/>
          </w:tcPr>
          <w:p>
            <w:r/>
            <w:r>
              <w:rPr>
                <w:b w:val="0"/>
                <w:sz w:val="19"/>
              </w:rPr>
              <w:t>Crée / rafraîchit l'état d'une tranche en BROUILLON — body { tranche? } ; reliquat : 422 si avances non validées (om.retranscrire)</w:t>
            </w:r>
          </w:p>
        </w:tc>
      </w:tr>
      <w:tr>
        <w:tc>
          <w:tcPr>
            <w:tcW w:type="dxa" w:w="1134"/>
          </w:tcPr>
          <w:p>
            <w:r/>
            <w:r>
              <w:rPr>
                <w:b w:val="0"/>
                <w:sz w:val="19"/>
              </w:rPr>
              <w:t>GET</w:t>
            </w:r>
          </w:p>
        </w:tc>
        <w:tc>
          <w:tcPr>
            <w:tcW w:type="dxa" w:w="4422"/>
          </w:tcPr>
          <w:p>
            <w:r/>
            <w:r>
              <w:rPr>
                <w:b w:val="0"/>
                <w:sz w:val="19"/>
              </w:rPr>
              <w:t>/api/missions/:id/etat/brouillon | /telecharger</w:t>
            </w:r>
          </w:p>
        </w:tc>
        <w:tc>
          <w:tcPr>
            <w:tcW w:type="dxa" w:w="3969"/>
          </w:tcPr>
          <w:p>
            <w:r/>
            <w:r>
              <w:rPr>
                <w:b w:val="0"/>
                <w:sz w:val="19"/>
              </w:rPr>
              <w:t>PDF de la tranche (?tranche=) — filigrané tant que non validé</w:t>
            </w:r>
          </w:p>
        </w:tc>
      </w:tr>
      <w:tr>
        <w:tc>
          <w:tcPr>
            <w:tcW w:type="dxa" w:w="1134"/>
          </w:tcPr>
          <w:p>
            <w:r/>
            <w:r>
              <w:rPr>
                <w:b w:val="0"/>
                <w:sz w:val="19"/>
              </w:rPr>
              <w:t>GET</w:t>
            </w:r>
          </w:p>
        </w:tc>
        <w:tc>
          <w:tcPr>
            <w:tcW w:type="dxa" w:w="4422"/>
          </w:tcPr>
          <w:p>
            <w:r/>
            <w:r>
              <w:rPr>
                <w:b w:val="0"/>
                <w:sz w:val="19"/>
              </w:rPr>
              <w:t>/api/missions/:id/etat/final</w:t>
            </w:r>
          </w:p>
        </w:tc>
        <w:tc>
          <w:tcPr>
            <w:tcW w:type="dxa" w:w="3969"/>
          </w:tcPr>
          <w:p>
            <w:r/>
            <w:r>
              <w:rPr>
                <w:b w:val="0"/>
                <w:sz w:val="19"/>
              </w:rPr>
              <w:t>État général consolidé (avances + reliquats), une fois les deux validés</w:t>
            </w:r>
          </w:p>
        </w:tc>
      </w:tr>
      <w:tr>
        <w:tc>
          <w:tcPr>
            <w:tcW w:type="dxa" w:w="1134"/>
          </w:tcPr>
          <w:p>
            <w:r/>
            <w:r>
              <w:rPr>
                <w:b w:val="0"/>
                <w:sz w:val="19"/>
              </w:rPr>
              <w:t>PUT</w:t>
            </w:r>
          </w:p>
        </w:tc>
        <w:tc>
          <w:tcPr>
            <w:tcW w:type="dxa" w:w="4422"/>
          </w:tcPr>
          <w:p>
            <w:r/>
            <w:r>
              <w:rPr>
                <w:b w:val="0"/>
                <w:sz w:val="19"/>
              </w:rPr>
              <w:t>/api/etats/:id/numero</w:t>
            </w:r>
          </w:p>
        </w:tc>
        <w:tc>
          <w:tcPr>
            <w:tcW w:type="dxa" w:w="3969"/>
          </w:tcPr>
          <w:p>
            <w:r/>
            <w:r>
              <w:rPr>
                <w:b w:val="0"/>
                <w:sz w:val="19"/>
              </w:rPr>
              <w:t>Numérotation manuelle (om.numeroter)</w:t>
            </w:r>
          </w:p>
        </w:tc>
      </w:tr>
      <w:tr>
        <w:tc>
          <w:tcPr>
            <w:tcW w:type="dxa" w:w="1134"/>
          </w:tcPr>
          <w:p>
            <w:r/>
            <w:r>
              <w:rPr>
                <w:b w:val="0"/>
                <w:sz w:val="19"/>
              </w:rPr>
              <w:t>POST</w:t>
            </w:r>
          </w:p>
        </w:tc>
        <w:tc>
          <w:tcPr>
            <w:tcW w:type="dxa" w:w="4422"/>
          </w:tcPr>
          <w:p>
            <w:r/>
            <w:r>
              <w:rPr>
                <w:b w:val="0"/>
                <w:sz w:val="19"/>
              </w:rPr>
              <w:t>/api/etats/:id/controler</w:t>
            </w:r>
          </w:p>
        </w:tc>
        <w:tc>
          <w:tcPr>
            <w:tcW w:type="dxa" w:w="3969"/>
          </w:tcPr>
          <w:p>
            <w:r/>
            <w:r>
              <w:rPr>
                <w:b w:val="0"/>
                <w:sz w:val="19"/>
              </w:rPr>
              <w:t>BROUILLON → CONTROLE (om.valider)</w:t>
            </w:r>
          </w:p>
        </w:tc>
      </w:tr>
      <w:tr>
        <w:tc>
          <w:tcPr>
            <w:tcW w:type="dxa" w:w="1134"/>
          </w:tcPr>
          <w:p>
            <w:r/>
            <w:r>
              <w:rPr>
                <w:b w:val="0"/>
                <w:sz w:val="19"/>
              </w:rPr>
              <w:t>POST</w:t>
            </w:r>
          </w:p>
        </w:tc>
        <w:tc>
          <w:tcPr>
            <w:tcW w:type="dxa" w:w="4422"/>
          </w:tcPr>
          <w:p>
            <w:r/>
            <w:r>
              <w:rPr>
                <w:b w:val="0"/>
                <w:sz w:val="19"/>
              </w:rPr>
              <w:t>/api/etats/:id/viser</w:t>
            </w:r>
          </w:p>
        </w:tc>
        <w:tc>
          <w:tcPr>
            <w:tcW w:type="dxa" w:w="3969"/>
          </w:tcPr>
          <w:p>
            <w:r/>
            <w:r>
              <w:rPr>
                <w:b w:val="0"/>
                <w:sz w:val="19"/>
              </w:rPr>
              <w:t>CONTROLE → VISA_DAF ; DAF ≠ contrôleur (om.viser)</w:t>
            </w:r>
          </w:p>
        </w:tc>
      </w:tr>
      <w:tr>
        <w:tc>
          <w:tcPr>
            <w:tcW w:type="dxa" w:w="1134"/>
          </w:tcPr>
          <w:p>
            <w:r/>
            <w:r>
              <w:rPr>
                <w:b w:val="0"/>
                <w:sz w:val="19"/>
              </w:rPr>
              <w:t>POST</w:t>
            </w:r>
          </w:p>
        </w:tc>
        <w:tc>
          <w:tcPr>
            <w:tcW w:type="dxa" w:w="4422"/>
          </w:tcPr>
          <w:p>
            <w:r/>
            <w:r>
              <w:rPr>
                <w:b w:val="0"/>
                <w:sz w:val="19"/>
              </w:rPr>
              <w:t>/api/etats/:id/approuver</w:t>
            </w:r>
          </w:p>
        </w:tc>
        <w:tc>
          <w:tcPr>
            <w:tcW w:type="dxa" w:w="3969"/>
          </w:tcPr>
          <w:p>
            <w:r/>
            <w:r>
              <w:rPr>
                <w:b w:val="0"/>
                <w:sz w:val="19"/>
              </w:rPr>
              <w:t>VISA_DAF → VALIDE ; DG ≠ contrôleur/DAF ; ouvre la tranche (om.approuver)</w:t>
            </w:r>
          </w:p>
        </w:tc>
      </w:tr>
      <w:tr>
        <w:tc>
          <w:tcPr>
            <w:tcW w:type="dxa" w:w="1134"/>
          </w:tcPr>
          <w:p>
            <w:r/>
            <w:r>
              <w:rPr>
                <w:b w:val="0"/>
                <w:sz w:val="19"/>
              </w:rPr>
              <w:t>POST</w:t>
            </w:r>
          </w:p>
        </w:tc>
        <w:tc>
          <w:tcPr>
            <w:tcW w:type="dxa" w:w="4422"/>
          </w:tcPr>
          <w:p>
            <w:r/>
            <w:r>
              <w:rPr>
                <w:b w:val="0"/>
                <w:sz w:val="19"/>
              </w:rPr>
              <w:t>/api/etats/:id/rejeter</w:t>
            </w:r>
          </w:p>
        </w:tc>
        <w:tc>
          <w:tcPr>
            <w:tcW w:type="dxa" w:w="3969"/>
          </w:tcPr>
          <w:p>
            <w:r/>
            <w:r>
              <w:rPr>
                <w:b w:val="0"/>
                <w:sz w:val="19"/>
              </w:rPr>
              <w:t>→ REJETE, motif ≥ 10 car. (om.rejeter)</w:t>
            </w:r>
          </w:p>
        </w:tc>
      </w:tr>
    </w:tbl>
    <w:p/>
    <w:p>
      <w:r>
        <w:rPr>
          <w:b w:val="0"/>
          <w:i/>
          <w:color w:val="4B5563"/>
        </w:rPr>
        <w:t>Signatures des titulaires (SUPER_ADMIN, parametres.gerer) : GET/POST/DELETE /api/admin/signatures/:poste (controleur | daf | dg) et identités dans /api/admin/settings.</w:t>
      </w:r>
    </w:p>
    <w:p>
      <w:pPr>
        <w:pStyle w:val="Heading2"/>
      </w:pPr>
      <w:r>
        <w:t>7.4 Paiements (génération)</w:t>
      </w:r>
    </w:p>
    <w:tbl>
      <w:tblPr>
        <w:tblStyle w:val="TableGrid"/>
        <w:tblW w:type="auto" w:w="0"/>
        <w:jc w:val="center"/>
        <w:tblLayout w:type="fixed"/>
        <w:tblLook w:firstColumn="1" w:firstRow="1" w:lastColumn="0" w:lastRow="0" w:noHBand="0" w:noVBand="1" w:val="04A0"/>
      </w:tblPr>
      <w:tblGrid>
        <w:gridCol w:w="1134"/>
        <w:gridCol w:w="4422"/>
        <w:gridCol w:w="3969"/>
      </w:tblGrid>
      <w:tr>
        <w:tc>
          <w:tcPr>
            <w:tcW w:type="dxa" w:w="1134"/>
            <w:shd w:val="clear" w:fill="1D9E4F"/>
          </w:tcPr>
          <w:p>
            <w:r/>
            <w:r>
              <w:rPr>
                <w:b/>
                <w:color w:val="FFFFFF"/>
                <w:sz w:val="20"/>
              </w:rPr>
              <w:t>Méthode</w:t>
            </w:r>
          </w:p>
        </w:tc>
        <w:tc>
          <w:tcPr>
            <w:tcW w:type="dxa" w:w="4422"/>
            <w:shd w:val="clear" w:fill="1D9E4F"/>
          </w:tcPr>
          <w:p>
            <w:r/>
            <w:r>
              <w:rPr>
                <w:b/>
                <w:color w:val="FFFFFF"/>
                <w:sz w:val="20"/>
              </w:rPr>
              <w:t>URL</w:t>
            </w:r>
          </w:p>
        </w:tc>
        <w:tc>
          <w:tcPr>
            <w:tcW w:type="dxa" w:w="3969"/>
            <w:shd w:val="clear" w:fill="1D9E4F"/>
          </w:tcPr>
          <w:p>
            <w:r/>
            <w:r>
              <w:rPr>
                <w:b/>
                <w:color w:val="FFFFFF"/>
                <w:sz w:val="20"/>
              </w:rPr>
              <w:t>Description</w:t>
            </w:r>
          </w:p>
        </w:tc>
      </w:tr>
      <w:tr>
        <w:tc>
          <w:tcPr>
            <w:tcW w:type="dxa" w:w="1134"/>
          </w:tcPr>
          <w:p>
            <w:r/>
            <w:r>
              <w:rPr>
                <w:b w:val="0"/>
                <w:sz w:val="19"/>
              </w:rPr>
              <w:t>GET</w:t>
            </w:r>
          </w:p>
        </w:tc>
        <w:tc>
          <w:tcPr>
            <w:tcW w:type="dxa" w:w="4422"/>
          </w:tcPr>
          <w:p>
            <w:r/>
            <w:r>
              <w:rPr>
                <w:b w:val="0"/>
                <w:sz w:val="19"/>
              </w:rPr>
              <w:t>/api/paiements/lots</w:t>
            </w:r>
          </w:p>
        </w:tc>
        <w:tc>
          <w:tcPr>
            <w:tcW w:type="dxa" w:w="3969"/>
          </w:tcPr>
          <w:p>
            <w:r/>
            <w:r>
              <w:rPr>
                <w:b w:val="0"/>
                <w:sz w:val="19"/>
              </w:rPr>
              <w:t>Liste des lots (mission/tranche/opérateur/statut)</w:t>
            </w:r>
          </w:p>
        </w:tc>
      </w:tr>
      <w:tr>
        <w:tc>
          <w:tcPr>
            <w:tcW w:type="dxa" w:w="1134"/>
          </w:tcPr>
          <w:p>
            <w:r/>
            <w:r>
              <w:rPr>
                <w:b w:val="0"/>
                <w:sz w:val="19"/>
              </w:rPr>
              <w:t>GET</w:t>
            </w:r>
          </w:p>
        </w:tc>
        <w:tc>
          <w:tcPr>
            <w:tcW w:type="dxa" w:w="4422"/>
          </w:tcPr>
          <w:p>
            <w:r/>
            <w:r>
              <w:rPr>
                <w:b w:val="0"/>
                <w:sz w:val="19"/>
              </w:rPr>
              <w:t>/api/paiements/lots/previsualiser</w:t>
            </w:r>
          </w:p>
        </w:tc>
        <w:tc>
          <w:tcPr>
            <w:tcW w:type="dxa" w:w="3969"/>
          </w:tcPr>
          <w:p>
            <w:r/>
            <w:r>
              <w:rPr>
                <w:b w:val="0"/>
                <w:sz w:val="19"/>
              </w:rPr>
              <w:t>Bénéficiaires éligibles (état de la tranche VALIDE)</w:t>
            </w:r>
          </w:p>
        </w:tc>
      </w:tr>
      <w:tr>
        <w:tc>
          <w:tcPr>
            <w:tcW w:type="dxa" w:w="1134"/>
          </w:tcPr>
          <w:p>
            <w:r/>
            <w:r>
              <w:rPr>
                <w:b w:val="0"/>
                <w:sz w:val="19"/>
              </w:rPr>
              <w:t>POST</w:t>
            </w:r>
          </w:p>
        </w:tc>
        <w:tc>
          <w:tcPr>
            <w:tcW w:type="dxa" w:w="4422"/>
          </w:tcPr>
          <w:p>
            <w:r/>
            <w:r>
              <w:rPr>
                <w:b w:val="0"/>
                <w:sz w:val="19"/>
              </w:rPr>
              <w:t>/api/paiements/lots/generer</w:t>
            </w:r>
          </w:p>
        </w:tc>
        <w:tc>
          <w:tcPr>
            <w:tcW w:type="dxa" w:w="3969"/>
          </w:tcPr>
          <w:p>
            <w:r/>
            <w:r>
              <w:rPr>
                <w:b w:val="0"/>
                <w:sz w:val="19"/>
              </w:rPr>
              <w:t>.txt MTN / .xlsx Moov ; petit lot direct, gros lot 202 + tracking_id</w:t>
            </w:r>
          </w:p>
        </w:tc>
      </w:tr>
      <w:tr>
        <w:tc>
          <w:tcPr>
            <w:tcW w:type="dxa" w:w="1134"/>
          </w:tcPr>
          <w:p>
            <w:r/>
            <w:r>
              <w:rPr>
                <w:b w:val="0"/>
                <w:sz w:val="19"/>
              </w:rPr>
              <w:t>GET</w:t>
            </w:r>
          </w:p>
        </w:tc>
        <w:tc>
          <w:tcPr>
            <w:tcW w:type="dxa" w:w="4422"/>
          </w:tcPr>
          <w:p>
            <w:r/>
            <w:r>
              <w:rPr>
                <w:b w:val="0"/>
                <w:sz w:val="19"/>
              </w:rPr>
              <w:t>/api/paiements/lots/:lot/download</w:t>
            </w:r>
          </w:p>
        </w:tc>
        <w:tc>
          <w:tcPr>
            <w:tcW w:type="dxa" w:w="3969"/>
          </w:tcPr>
          <w:p>
            <w:r/>
            <w:r>
              <w:rPr>
                <w:b w:val="0"/>
                <w:sz w:val="19"/>
              </w:rPr>
              <w:t>Re-téléchargement du fichier</w:t>
            </w:r>
          </w:p>
        </w:tc>
      </w:tr>
      <w:tr>
        <w:tc>
          <w:tcPr>
            <w:tcW w:type="dxa" w:w="1134"/>
          </w:tcPr>
          <w:p>
            <w:r/>
            <w:r>
              <w:rPr>
                <w:b w:val="0"/>
                <w:sz w:val="19"/>
              </w:rPr>
              <w:t>POST</w:t>
            </w:r>
          </w:p>
        </w:tc>
        <w:tc>
          <w:tcPr>
            <w:tcW w:type="dxa" w:w="4422"/>
          </w:tcPr>
          <w:p>
            <w:r/>
            <w:r>
              <w:rPr>
                <w:b w:val="0"/>
                <w:sz w:val="19"/>
              </w:rPr>
              <w:t>/api/paiements/lots/:lot/confirmer</w:t>
            </w:r>
          </w:p>
        </w:tc>
        <w:tc>
          <w:tcPr>
            <w:tcW w:type="dxa" w:w="3969"/>
          </w:tcPr>
          <w:p>
            <w:r/>
            <w:r>
              <w:rPr>
                <w:b w:val="0"/>
                <w:sz w:val="19"/>
              </w:rPr>
              <w:t>Lot GENERE + versements → CONFIRME</w:t>
            </w:r>
          </w:p>
        </w:tc>
      </w:tr>
      <w:tr>
        <w:tc>
          <w:tcPr>
            <w:tcW w:type="dxa" w:w="1134"/>
          </w:tcPr>
          <w:p>
            <w:r/>
            <w:r>
              <w:rPr>
                <w:b w:val="0"/>
                <w:sz w:val="19"/>
              </w:rPr>
              <w:t>POST</w:t>
            </w:r>
          </w:p>
        </w:tc>
        <w:tc>
          <w:tcPr>
            <w:tcW w:type="dxa" w:w="4422"/>
          </w:tcPr>
          <w:p>
            <w:r/>
            <w:r>
              <w:rPr>
                <w:b w:val="0"/>
                <w:sz w:val="19"/>
              </w:rPr>
              <w:t>/api/paiements/lots/:lot/erreur</w:t>
            </w:r>
          </w:p>
        </w:tc>
        <w:tc>
          <w:tcPr>
            <w:tcW w:type="dxa" w:w="3969"/>
          </w:tcPr>
          <w:p>
            <w:r/>
            <w:r>
              <w:rPr>
                <w:b w:val="0"/>
                <w:sz w:val="19"/>
              </w:rPr>
              <w:t>Lot → ERREUR ; versements → EN_ATTENTE, coordonnées agent rafraîchies</w:t>
            </w:r>
          </w:p>
        </w:tc>
      </w:tr>
      <w:tr>
        <w:tc>
          <w:tcPr>
            <w:tcW w:type="dxa" w:w="1134"/>
          </w:tcPr>
          <w:p>
            <w:r/>
            <w:r>
              <w:rPr>
                <w:b w:val="0"/>
                <w:sz w:val="19"/>
              </w:rPr>
              <w:t>GET</w:t>
            </w:r>
          </w:p>
        </w:tc>
        <w:tc>
          <w:tcPr>
            <w:tcW w:type="dxa" w:w="4422"/>
          </w:tcPr>
          <w:p>
            <w:r/>
            <w:r>
              <w:rPr>
                <w:b w:val="0"/>
                <w:sz w:val="19"/>
              </w:rPr>
              <w:t>/api/paiements/lots/job/:trackingId</w:t>
            </w:r>
          </w:p>
        </w:tc>
        <w:tc>
          <w:tcPr>
            <w:tcW w:type="dxa" w:w="3969"/>
          </w:tcPr>
          <w:p>
            <w:r/>
            <w:r>
              <w:rPr>
                <w:b w:val="0"/>
                <w:sz w:val="19"/>
              </w:rPr>
              <w:t>Suivi d'une génération asynchrone (EN_COURS / TERMINE + lot_id / ERREUR)</w:t>
            </w:r>
          </w:p>
        </w:tc>
      </w:tr>
      <w:tr>
        <w:tc>
          <w:tcPr>
            <w:tcW w:type="dxa" w:w="1134"/>
          </w:tcPr>
          <w:p>
            <w:r/>
            <w:r>
              <w:rPr>
                <w:b w:val="0"/>
                <w:sz w:val="19"/>
              </w:rPr>
              <w:t>GET</w:t>
            </w:r>
          </w:p>
        </w:tc>
        <w:tc>
          <w:tcPr>
            <w:tcW w:type="dxa" w:w="4422"/>
          </w:tcPr>
          <w:p>
            <w:r/>
            <w:r>
              <w:rPr>
                <w:b w:val="0"/>
                <w:sz w:val="19"/>
              </w:rPr>
              <w:t>/api/paiements/statuts | /historique</w:t>
            </w:r>
          </w:p>
        </w:tc>
        <w:tc>
          <w:tcPr>
            <w:tcW w:type="dxa" w:w="3969"/>
          </w:tcPr>
          <w:p>
            <w:r/>
            <w:r>
              <w:rPr>
                <w:b w:val="0"/>
                <w:sz w:val="19"/>
              </w:rPr>
              <w:t>Synthèse / historique confirmés</w:t>
            </w:r>
          </w:p>
        </w:tc>
      </w:tr>
      <w:tr>
        <w:tc>
          <w:tcPr>
            <w:tcW w:type="dxa" w:w="1134"/>
          </w:tcPr>
          <w:p>
            <w:r/>
            <w:r>
              <w:rPr>
                <w:b w:val="0"/>
                <w:sz w:val="19"/>
              </w:rPr>
              <w:t>GET</w:t>
            </w:r>
          </w:p>
        </w:tc>
        <w:tc>
          <w:tcPr>
            <w:tcW w:type="dxa" w:w="4422"/>
          </w:tcPr>
          <w:p>
            <w:r/>
            <w:r>
              <w:rPr>
                <w:b w:val="0"/>
                <w:sz w:val="19"/>
              </w:rPr>
              <w:t>/api/paiements/regularisations</w:t>
            </w:r>
          </w:p>
        </w:tc>
        <w:tc>
          <w:tcPr>
            <w:tcW w:type="dxa" w:w="3969"/>
          </w:tcPr>
          <w:p>
            <w:r/>
            <w:r>
              <w:rPr>
                <w:b w:val="0"/>
                <w:sz w:val="19"/>
              </w:rPr>
              <w:t>Trop-perçus A_RECOUVRER / RECOUVRE, paginés (paiements.consulter)</w:t>
            </w:r>
          </w:p>
        </w:tc>
      </w:tr>
      <w:tr>
        <w:tc>
          <w:tcPr>
            <w:tcW w:type="dxa" w:w="1134"/>
          </w:tcPr>
          <w:p>
            <w:r/>
            <w:r>
              <w:rPr>
                <w:b w:val="0"/>
                <w:sz w:val="19"/>
              </w:rPr>
              <w:t>GET</w:t>
            </w:r>
          </w:p>
        </w:tc>
        <w:tc>
          <w:tcPr>
            <w:tcW w:type="dxa" w:w="4422"/>
          </w:tcPr>
          <w:p>
            <w:r/>
            <w:r>
              <w:rPr>
                <w:b w:val="0"/>
                <w:sz w:val="19"/>
              </w:rPr>
              <w:t>/api/paiements/regularisations/:v/document</w:t>
            </w:r>
          </w:p>
        </w:tc>
        <w:tc>
          <w:tcPr>
            <w:tcW w:type="dxa" w:w="3969"/>
          </w:tcPr>
          <w:p>
            <w:r/>
            <w:r>
              <w:rPr>
                <w:b w:val="0"/>
                <w:sz w:val="19"/>
              </w:rPr>
              <w:t>PDF « document de retenue sur salaire »</w:t>
            </w:r>
          </w:p>
        </w:tc>
      </w:tr>
      <w:tr>
        <w:tc>
          <w:tcPr>
            <w:tcW w:type="dxa" w:w="1134"/>
          </w:tcPr>
          <w:p>
            <w:r/>
            <w:r>
              <w:rPr>
                <w:b w:val="0"/>
                <w:sz w:val="19"/>
              </w:rPr>
              <w:t>POST</w:t>
            </w:r>
          </w:p>
        </w:tc>
        <w:tc>
          <w:tcPr>
            <w:tcW w:type="dxa" w:w="4422"/>
          </w:tcPr>
          <w:p>
            <w:r/>
            <w:r>
              <w:rPr>
                <w:b w:val="0"/>
                <w:sz w:val="19"/>
              </w:rPr>
              <w:t>/api/paiements/regularisations/:v/recouvrer</w:t>
            </w:r>
          </w:p>
        </w:tc>
        <w:tc>
          <w:tcPr>
            <w:tcW w:type="dxa" w:w="3969"/>
          </w:tcPr>
          <w:p>
            <w:r/>
            <w:r>
              <w:rPr>
                <w:b w:val="0"/>
                <w:sz w:val="19"/>
              </w:rPr>
              <w:t>A_RECOUVRER → RECOUVRE (paiements.confirmer)</w:t>
            </w:r>
          </w:p>
        </w:tc>
      </w:tr>
    </w:tbl>
    <w:p/>
    <w:p>
      <w:pPr>
        <w:pStyle w:val="Heading2"/>
      </w:pPr>
      <w:r>
        <w:t>7.5 Barème, rapports, audit &amp; administration</w:t>
      </w:r>
    </w:p>
    <w:tbl>
      <w:tblPr>
        <w:tblStyle w:val="TableGrid"/>
        <w:tblW w:type="auto" w:w="0"/>
        <w:jc w:val="center"/>
        <w:tblLayout w:type="fixed"/>
        <w:tblLook w:firstColumn="1" w:firstRow="1" w:lastColumn="0" w:lastRow="0" w:noHBand="0" w:noVBand="1" w:val="04A0"/>
      </w:tblPr>
      <w:tblGrid>
        <w:gridCol w:w="1361"/>
        <w:gridCol w:w="4535"/>
        <w:gridCol w:w="3628"/>
      </w:tblGrid>
      <w:tr>
        <w:tc>
          <w:tcPr>
            <w:tcW w:type="dxa" w:w="1361"/>
            <w:shd w:val="clear" w:fill="1D9E4F"/>
          </w:tcPr>
          <w:p>
            <w:r/>
            <w:r>
              <w:rPr>
                <w:b/>
                <w:color w:val="FFFFFF"/>
                <w:sz w:val="20"/>
              </w:rPr>
              <w:t>Méthode</w:t>
            </w:r>
          </w:p>
        </w:tc>
        <w:tc>
          <w:tcPr>
            <w:tcW w:type="dxa" w:w="4535"/>
            <w:shd w:val="clear" w:fill="1D9E4F"/>
          </w:tcPr>
          <w:p>
            <w:r/>
            <w:r>
              <w:rPr>
                <w:b/>
                <w:color w:val="FFFFFF"/>
                <w:sz w:val="20"/>
              </w:rPr>
              <w:t>URL</w:t>
            </w:r>
          </w:p>
        </w:tc>
        <w:tc>
          <w:tcPr>
            <w:tcW w:type="dxa" w:w="3628"/>
            <w:shd w:val="clear" w:fill="1D9E4F"/>
          </w:tcPr>
          <w:p>
            <w:r/>
            <w:r>
              <w:rPr>
                <w:b/>
                <w:color w:val="FFFFFF"/>
                <w:sz w:val="20"/>
              </w:rPr>
              <w:t>Description</w:t>
            </w:r>
          </w:p>
        </w:tc>
      </w:tr>
      <w:tr>
        <w:tc>
          <w:tcPr>
            <w:tcW w:type="dxa" w:w="1361"/>
          </w:tcPr>
          <w:p>
            <w:r/>
            <w:r>
              <w:rPr>
                <w:b w:val="0"/>
                <w:sz w:val="19"/>
              </w:rPr>
              <w:t>GET / PUT</w:t>
            </w:r>
          </w:p>
        </w:tc>
        <w:tc>
          <w:tcPr>
            <w:tcW w:type="dxa" w:w="4535"/>
          </w:tcPr>
          <w:p>
            <w:r/>
            <w:r>
              <w:rPr>
                <w:b w:val="0"/>
                <w:sz w:val="19"/>
              </w:rPr>
              <w:t>/api/baremes[/:id]</w:t>
            </w:r>
          </w:p>
        </w:tc>
        <w:tc>
          <w:tcPr>
            <w:tcW w:type="dxa" w:w="3628"/>
          </w:tcPr>
          <w:p>
            <w:r/>
            <w:r>
              <w:rPr>
                <w:b w:val="0"/>
                <w:sz w:val="19"/>
              </w:rPr>
              <w:t>Lecture (baremes.consulter) / modification (baremes.modifier) ; édition II ↔ III synchronisée</w:t>
            </w:r>
          </w:p>
        </w:tc>
      </w:tr>
      <w:tr>
        <w:tc>
          <w:tcPr>
            <w:tcW w:type="dxa" w:w="1361"/>
          </w:tcPr>
          <w:p>
            <w:r/>
            <w:r>
              <w:rPr>
                <w:b w:val="0"/>
                <w:sz w:val="19"/>
              </w:rPr>
              <w:t>GET</w:t>
            </w:r>
          </w:p>
        </w:tc>
        <w:tc>
          <w:tcPr>
            <w:tcW w:type="dxa" w:w="4535"/>
          </w:tcPr>
          <w:p>
            <w:r/>
            <w:r>
              <w:rPr>
                <w:b w:val="0"/>
                <w:sz w:val="19"/>
              </w:rPr>
              <w:t>/api/admin/parametres/part-avance</w:t>
            </w:r>
          </w:p>
        </w:tc>
        <w:tc>
          <w:tcPr>
            <w:tcW w:type="dxa" w:w="3628"/>
          </w:tcPr>
          <w:p>
            <w:r/>
            <w:r>
              <w:rPr>
                <w:b w:val="0"/>
                <w:sz w:val="19"/>
              </w:rPr>
              <w:t>Part de l'avance (lecture publique, tout authentifié)</w:t>
            </w:r>
          </w:p>
        </w:tc>
      </w:tr>
      <w:tr>
        <w:tc>
          <w:tcPr>
            <w:tcW w:type="dxa" w:w="1361"/>
          </w:tcPr>
          <w:p>
            <w:r/>
            <w:r>
              <w:rPr>
                <w:b w:val="0"/>
                <w:sz w:val="19"/>
              </w:rPr>
              <w:t>GET</w:t>
            </w:r>
          </w:p>
        </w:tc>
        <w:tc>
          <w:tcPr>
            <w:tcW w:type="dxa" w:w="4535"/>
          </w:tcPr>
          <w:p>
            <w:r/>
            <w:r>
              <w:rPr>
                <w:b w:val="0"/>
                <w:sz w:val="19"/>
              </w:rPr>
              <w:t>/api/admin/parametres/annee-fiscale</w:t>
            </w:r>
          </w:p>
        </w:tc>
        <w:tc>
          <w:tcPr>
            <w:tcW w:type="dxa" w:w="3628"/>
          </w:tcPr>
          <w:p>
            <w:r/>
            <w:r>
              <w:rPr>
                <w:b w:val="0"/>
                <w:sz w:val="19"/>
              </w:rPr>
              <w:t>Exercice courant (lecture publique) — exposé mais consommé par aucun écran ni rapport à ce jour (cf. docs/annee-fiscale.md)</w:t>
            </w:r>
          </w:p>
        </w:tc>
      </w:tr>
      <w:tr>
        <w:tc>
          <w:tcPr>
            <w:tcW w:type="dxa" w:w="1361"/>
          </w:tcPr>
          <w:p>
            <w:r/>
            <w:r>
              <w:rPr>
                <w:b w:val="0"/>
                <w:sz w:val="19"/>
              </w:rPr>
              <w:t>GET</w:t>
            </w:r>
          </w:p>
        </w:tc>
        <w:tc>
          <w:tcPr>
            <w:tcW w:type="dxa" w:w="4535"/>
          </w:tcPr>
          <w:p>
            <w:r/>
            <w:r>
              <w:rPr>
                <w:b w:val="0"/>
                <w:sz w:val="19"/>
              </w:rPr>
              <w:t>/api/rapports/{mensuel|agents|operateurs|zones|imputations|trop-percus}</w:t>
            </w:r>
          </w:p>
        </w:tc>
        <w:tc>
          <w:tcPr>
            <w:tcW w:type="dxa" w:w="3628"/>
          </w:tcPr>
          <w:p>
            <w:r/>
            <w:r>
              <w:rPr>
                <w:b w:val="0"/>
                <w:sz w:val="19"/>
              </w:rPr>
              <w:t>États (rapports.consulter)</w:t>
            </w:r>
          </w:p>
        </w:tc>
      </w:tr>
      <w:tr>
        <w:tc>
          <w:tcPr>
            <w:tcW w:type="dxa" w:w="1361"/>
          </w:tcPr>
          <w:p>
            <w:r/>
            <w:r>
              <w:rPr>
                <w:b w:val="0"/>
                <w:sz w:val="19"/>
              </w:rPr>
              <w:t>GET / POST</w:t>
            </w:r>
          </w:p>
        </w:tc>
        <w:tc>
          <w:tcPr>
            <w:tcW w:type="dxa" w:w="4535"/>
          </w:tcPr>
          <w:p>
            <w:r/>
            <w:r>
              <w:rPr>
                <w:b w:val="0"/>
                <w:sz w:val="19"/>
              </w:rPr>
              <w:t>/api/rapports/export | export-async | export/job/:id</w:t>
            </w:r>
          </w:p>
        </w:tc>
        <w:tc>
          <w:tcPr>
            <w:tcW w:type="dxa" w:w="3628"/>
          </w:tcPr>
          <w:p>
            <w:r/>
            <w:r>
              <w:rPr>
                <w:b w:val="0"/>
                <w:sz w:val="19"/>
              </w:rPr>
              <w:t>Export xlsx/pdf (immédiat ou en file) ; nom de fichier unique</w:t>
            </w:r>
          </w:p>
        </w:tc>
      </w:tr>
      <w:tr>
        <w:tc>
          <w:tcPr>
            <w:tcW w:type="dxa" w:w="1361"/>
          </w:tcPr>
          <w:p>
            <w:r/>
            <w:r>
              <w:rPr>
                <w:b w:val="0"/>
                <w:sz w:val="19"/>
              </w:rPr>
              <w:t>GET / POST</w:t>
            </w:r>
          </w:p>
        </w:tc>
        <w:tc>
          <w:tcPr>
            <w:tcW w:type="dxa" w:w="4535"/>
          </w:tcPr>
          <w:p>
            <w:r/>
            <w:r>
              <w:rPr>
                <w:b w:val="0"/>
                <w:sz w:val="19"/>
              </w:rPr>
              <w:t>/api/notifications | /lues | /:id/lu</w:t>
            </w:r>
          </w:p>
        </w:tc>
        <w:tc>
          <w:tcPr>
            <w:tcW w:type="dxa" w:w="3628"/>
          </w:tcPr>
          <w:p>
            <w:r/>
            <w:r>
              <w:rPr>
                <w:b w:val="0"/>
                <w:sz w:val="19"/>
              </w:rPr>
              <w:t>Notifications de l'utilisateur connecté</w:t>
            </w:r>
          </w:p>
        </w:tc>
      </w:tr>
      <w:tr>
        <w:tc>
          <w:tcPr>
            <w:tcW w:type="dxa" w:w="1361"/>
          </w:tcPr>
          <w:p>
            <w:r/>
            <w:r>
              <w:rPr>
                <w:b w:val="0"/>
                <w:sz w:val="19"/>
              </w:rPr>
              <w:t>GET</w:t>
            </w:r>
          </w:p>
        </w:tc>
        <w:tc>
          <w:tcPr>
            <w:tcW w:type="dxa" w:w="4535"/>
          </w:tcPr>
          <w:p>
            <w:r/>
            <w:r>
              <w:rPr>
                <w:b w:val="0"/>
                <w:sz w:val="19"/>
              </w:rPr>
              <w:t>/api/audit[/:id]</w:t>
            </w:r>
          </w:p>
        </w:tc>
        <w:tc>
          <w:tcPr>
            <w:tcW w:type="dxa" w:w="3628"/>
          </w:tcPr>
          <w:p>
            <w:r/>
            <w:r>
              <w:rPr>
                <w:b w:val="0"/>
                <w:sz w:val="19"/>
              </w:rPr>
              <w:t>Journal d'activité (audit.consulter)</w:t>
            </w:r>
          </w:p>
        </w:tc>
      </w:tr>
      <w:tr>
        <w:tc>
          <w:tcPr>
            <w:tcW w:type="dxa" w:w="1361"/>
          </w:tcPr>
          <w:p>
            <w:r/>
            <w:r>
              <w:rPr>
                <w:b w:val="0"/>
                <w:sz w:val="19"/>
              </w:rPr>
              <w:t>—</w:t>
            </w:r>
          </w:p>
        </w:tc>
        <w:tc>
          <w:tcPr>
            <w:tcW w:type="dxa" w:w="4535"/>
          </w:tcPr>
          <w:p>
            <w:r/>
            <w:r>
              <w:rPr>
                <w:b w:val="0"/>
                <w:sz w:val="19"/>
              </w:rPr>
              <w:t>/api/admin/users...</w:t>
            </w:r>
          </w:p>
        </w:tc>
        <w:tc>
          <w:tcPr>
            <w:tcW w:type="dxa" w:w="3628"/>
          </w:tcPr>
          <w:p>
            <w:r/>
            <w:r>
              <w:rPr>
                <w:b w:val="0"/>
                <w:sz w:val="19"/>
              </w:rPr>
              <w:t>Gestion des comptes (utilisateurs.gerer) ; overrides /users/:id/permissions (roles.gerer)</w:t>
            </w:r>
          </w:p>
        </w:tc>
      </w:tr>
      <w:tr>
        <w:tc>
          <w:tcPr>
            <w:tcW w:type="dxa" w:w="1361"/>
          </w:tcPr>
          <w:p>
            <w:r/>
            <w:r>
              <w:rPr>
                <w:b w:val="0"/>
                <w:sz w:val="19"/>
              </w:rPr>
              <w:t>—</w:t>
            </w:r>
          </w:p>
        </w:tc>
        <w:tc>
          <w:tcPr>
            <w:tcW w:type="dxa" w:w="4535"/>
          </w:tcPr>
          <w:p>
            <w:r/>
            <w:r>
              <w:rPr>
                <w:b w:val="0"/>
                <w:sz w:val="19"/>
              </w:rPr>
              <w:t>/api/admin/roles...</w:t>
            </w:r>
          </w:p>
        </w:tc>
        <w:tc>
          <w:tcPr>
            <w:tcW w:type="dxa" w:w="3628"/>
          </w:tcPr>
          <w:p>
            <w:r/>
            <w:r>
              <w:rPr>
                <w:b w:val="0"/>
                <w:sz w:val="19"/>
              </w:rPr>
              <w:t>Matrice et rôles personnalisés (lecture utilisateurs.gerer, écriture roles.gerer)</w:t>
            </w:r>
          </w:p>
        </w:tc>
      </w:tr>
      <w:tr>
        <w:tc>
          <w:tcPr>
            <w:tcW w:type="dxa" w:w="1361"/>
          </w:tcPr>
          <w:p>
            <w:r/>
            <w:r>
              <w:rPr>
                <w:b w:val="0"/>
                <w:sz w:val="19"/>
              </w:rPr>
              <w:t>GET / PUT</w:t>
            </w:r>
          </w:p>
        </w:tc>
        <w:tc>
          <w:tcPr>
            <w:tcW w:type="dxa" w:w="4535"/>
          </w:tcPr>
          <w:p>
            <w:r/>
            <w:r>
              <w:rPr>
                <w:b w:val="0"/>
                <w:sz w:val="19"/>
              </w:rPr>
              <w:t>/api/admin/settings</w:t>
            </w:r>
          </w:p>
        </w:tc>
        <w:tc>
          <w:tcPr>
            <w:tcW w:type="dxa" w:w="3628"/>
          </w:tcPr>
          <w:p>
            <w:r/>
            <w:r>
              <w:rPr>
                <w:b w:val="0"/>
                <w:sz w:val="19"/>
              </w:rPr>
              <w:t>Paramètres système, liste blanche, valeurs validées (422 hors domaine) (parametres.gerer)</w:t>
            </w:r>
          </w:p>
        </w:tc>
      </w:tr>
      <w:tr>
        <w:tc>
          <w:tcPr>
            <w:tcW w:type="dxa" w:w="1361"/>
          </w:tcPr>
          <w:p>
            <w:r/>
            <w:r>
              <w:rPr>
                <w:b w:val="0"/>
                <w:sz w:val="19"/>
              </w:rPr>
              <w:t>POST</w:t>
            </w:r>
          </w:p>
        </w:tc>
        <w:tc>
          <w:tcPr>
            <w:tcW w:type="dxa" w:w="4535"/>
          </w:tcPr>
          <w:p>
            <w:r/>
            <w:r>
              <w:rPr>
                <w:b w:val="0"/>
                <w:sz w:val="19"/>
              </w:rPr>
              <w:t>/api/admin/settings/test-email</w:t>
            </w:r>
          </w:p>
        </w:tc>
        <w:tc>
          <w:tcPr>
            <w:tcW w:type="dxa" w:w="3628"/>
          </w:tcPr>
          <w:p>
            <w:r/>
            <w:r>
              <w:rPr>
                <w:b w:val="0"/>
                <w:sz w:val="19"/>
              </w:rPr>
              <w:t>E-mail de test au compte connecté avec la configuration enregistrée ; 422 (champ smtpHost) avec le message du serveur SMTP en cas d'échec (parametres.gerer)</w:t>
            </w:r>
          </w:p>
        </w:tc>
      </w:tr>
      <w:tr>
        <w:tc>
          <w:tcPr>
            <w:tcW w:type="dxa" w:w="1361"/>
          </w:tcPr>
          <w:p>
            <w:r/>
            <w:r>
              <w:rPr>
                <w:b w:val="0"/>
                <w:sz w:val="19"/>
              </w:rPr>
              <w:t>GET</w:t>
            </w:r>
          </w:p>
        </w:tc>
        <w:tc>
          <w:tcPr>
            <w:tcW w:type="dxa" w:w="4535"/>
          </w:tcPr>
          <w:p>
            <w:r/>
            <w:r>
              <w:rPr>
                <w:b w:val="0"/>
                <w:sz w:val="19"/>
              </w:rPr>
              <w:t>/api/admin/parametres/application</w:t>
            </w:r>
          </w:p>
        </w:tc>
        <w:tc>
          <w:tcPr>
            <w:tcW w:type="dxa" w:w="3628"/>
          </w:tcPr>
          <w:p>
            <w:r/>
            <w:r>
              <w:rPr>
                <w:b w:val="0"/>
                <w:sz w:val="19"/>
              </w:rPr>
              <w:t>Nom de l'application et opérateurs ouverts (lecture publique)</w:t>
            </w:r>
          </w:p>
        </w:tc>
      </w:tr>
      <w:tr>
        <w:tc>
          <w:tcPr>
            <w:tcW w:type="dxa" w:w="1361"/>
          </w:tcPr>
          <w:p>
            <w:r/>
            <w:r>
              <w:rPr>
                <w:b w:val="0"/>
                <w:sz w:val="19"/>
              </w:rPr>
              <w:t>GET / POST / DELETE</w:t>
            </w:r>
          </w:p>
        </w:tc>
        <w:tc>
          <w:tcPr>
            <w:tcW w:type="dxa" w:w="4535"/>
          </w:tcPr>
          <w:p>
            <w:r/>
            <w:r>
              <w:rPr>
                <w:b w:val="0"/>
                <w:sz w:val="19"/>
              </w:rPr>
              <w:t>/api/admin/backups[/:name][/download|/restaurer]</w:t>
            </w:r>
          </w:p>
        </w:tc>
        <w:tc>
          <w:tcPr>
            <w:tcW w:type="dxa" w:w="3628"/>
          </w:tcPr>
          <w:p>
            <w:r/>
            <w:r>
              <w:rPr>
                <w:b w:val="0"/>
                <w:sz w:val="19"/>
              </w:rPr>
              <w:t>Sauvegardes : liste, création, téléchargement, restauration (confirmation), suppression (parametres.gerer)</w:t>
            </w:r>
          </w:p>
        </w:tc>
      </w:tr>
    </w:tbl>
    <w:p/>
    <w:p>
      <w:pPr>
        <w:pStyle w:val="Heading2"/>
      </w:pPr>
      <w:r>
        <w:t>7.6 Codes de réponse HTTP</w:t>
      </w:r>
    </w:p>
    <w:tbl>
      <w:tblPr>
        <w:tblStyle w:val="TableGrid"/>
        <w:tblW w:type="auto" w:w="0"/>
        <w:jc w:val="center"/>
        <w:tblLayout w:type="fixed"/>
        <w:tblLook w:firstColumn="1" w:firstRow="1" w:lastColumn="0" w:lastRow="0" w:noHBand="0" w:noVBand="1" w:val="04A0"/>
      </w:tblPr>
      <w:tblGrid>
        <w:gridCol w:w="1814"/>
        <w:gridCol w:w="2948"/>
        <w:gridCol w:w="4762"/>
      </w:tblGrid>
      <w:tr>
        <w:tc>
          <w:tcPr>
            <w:tcW w:type="dxa" w:w="1814"/>
            <w:shd w:val="clear" w:fill="1D9E4F"/>
          </w:tcPr>
          <w:p>
            <w:r/>
            <w:r>
              <w:rPr>
                <w:b/>
                <w:color w:val="FFFFFF"/>
                <w:sz w:val="20"/>
              </w:rPr>
              <w:t>Code</w:t>
            </w:r>
          </w:p>
        </w:tc>
        <w:tc>
          <w:tcPr>
            <w:tcW w:type="dxa" w:w="2948"/>
            <w:shd w:val="clear" w:fill="1D9E4F"/>
          </w:tcPr>
          <w:p>
            <w:r/>
            <w:r>
              <w:rPr>
                <w:b/>
                <w:color w:val="FFFFFF"/>
                <w:sz w:val="20"/>
              </w:rPr>
              <w:t>Signification</w:t>
            </w:r>
          </w:p>
        </w:tc>
        <w:tc>
          <w:tcPr>
            <w:tcW w:type="dxa" w:w="4762"/>
            <w:shd w:val="clear" w:fill="1D9E4F"/>
          </w:tcPr>
          <w:p>
            <w:r/>
            <w:r>
              <w:rPr>
                <w:b/>
                <w:color w:val="FFFFFF"/>
                <w:sz w:val="20"/>
              </w:rPr>
              <w:t>Cas d'usage</w:t>
            </w:r>
          </w:p>
        </w:tc>
      </w:tr>
      <w:tr>
        <w:tc>
          <w:tcPr>
            <w:tcW w:type="dxa" w:w="1814"/>
          </w:tcPr>
          <w:p>
            <w:r/>
            <w:r>
              <w:rPr>
                <w:b w:val="0"/>
                <w:sz w:val="19"/>
              </w:rPr>
              <w:t>200 / 201 / 204</w:t>
            </w:r>
          </w:p>
        </w:tc>
        <w:tc>
          <w:tcPr>
            <w:tcW w:type="dxa" w:w="2948"/>
          </w:tcPr>
          <w:p>
            <w:r/>
            <w:r>
              <w:rPr>
                <w:b w:val="0"/>
                <w:sz w:val="19"/>
              </w:rPr>
              <w:t>Succès / créé / sans contenu</w:t>
            </w:r>
          </w:p>
        </w:tc>
        <w:tc>
          <w:tcPr>
            <w:tcW w:type="dxa" w:w="4762"/>
          </w:tcPr>
          <w:p>
            <w:r/>
            <w:r>
              <w:rPr>
                <w:b w:val="0"/>
                <w:sz w:val="19"/>
              </w:rPr>
              <w:t>GET-PUT / POST création / suppression</w:t>
            </w:r>
          </w:p>
        </w:tc>
      </w:tr>
      <w:tr>
        <w:tc>
          <w:tcPr>
            <w:tcW w:type="dxa" w:w="1814"/>
          </w:tcPr>
          <w:p>
            <w:r/>
            <w:r>
              <w:rPr>
                <w:b w:val="0"/>
                <w:sz w:val="19"/>
              </w:rPr>
              <w:t>202 Accepted</w:t>
            </w:r>
          </w:p>
        </w:tc>
        <w:tc>
          <w:tcPr>
            <w:tcW w:type="dxa" w:w="2948"/>
          </w:tcPr>
          <w:p>
            <w:r/>
            <w:r>
              <w:rPr>
                <w:b w:val="0"/>
                <w:sz w:val="19"/>
              </w:rPr>
              <w:t>Traitement asynchrone</w:t>
            </w:r>
          </w:p>
        </w:tc>
        <w:tc>
          <w:tcPr>
            <w:tcW w:type="dxa" w:w="4762"/>
          </w:tcPr>
          <w:p>
            <w:r/>
            <w:r>
              <w:rPr>
                <w:b w:val="0"/>
                <w:sz w:val="19"/>
              </w:rPr>
              <w:t>Génération de gros lot / export (tracking_id)</w:t>
            </w:r>
          </w:p>
        </w:tc>
      </w:tr>
      <w:tr>
        <w:tc>
          <w:tcPr>
            <w:tcW w:type="dxa" w:w="1814"/>
          </w:tcPr>
          <w:p>
            <w:r/>
            <w:r>
              <w:rPr>
                <w:b w:val="0"/>
                <w:sz w:val="19"/>
              </w:rPr>
              <w:t>401 / 403</w:t>
            </w:r>
          </w:p>
        </w:tc>
        <w:tc>
          <w:tcPr>
            <w:tcW w:type="dxa" w:w="2948"/>
          </w:tcPr>
          <w:p>
            <w:r/>
            <w:r>
              <w:rPr>
                <w:b w:val="0"/>
                <w:sz w:val="19"/>
              </w:rPr>
              <w:t>Non authentifié / interdit</w:t>
            </w:r>
          </w:p>
        </w:tc>
        <w:tc>
          <w:tcPr>
            <w:tcW w:type="dxa" w:w="4762"/>
          </w:tcPr>
          <w:p>
            <w:r/>
            <w:r>
              <w:rPr>
                <w:b w:val="0"/>
                <w:sz w:val="19"/>
              </w:rPr>
              <w:t>Token absent ou expiré (toujours en JSON sur /api/*) / permission insuffisante</w:t>
            </w:r>
          </w:p>
        </w:tc>
      </w:tr>
      <w:tr>
        <w:tc>
          <w:tcPr>
            <w:tcW w:type="dxa" w:w="1814"/>
          </w:tcPr>
          <w:p>
            <w:r/>
            <w:r>
              <w:rPr>
                <w:b w:val="0"/>
                <w:sz w:val="19"/>
              </w:rPr>
              <w:t>404 / 405</w:t>
            </w:r>
          </w:p>
        </w:tc>
        <w:tc>
          <w:tcPr>
            <w:tcW w:type="dxa" w:w="2948"/>
          </w:tcPr>
          <w:p>
            <w:r/>
            <w:r>
              <w:rPr>
                <w:b w:val="0"/>
                <w:sz w:val="19"/>
              </w:rPr>
              <w:t>Introuvable / méthode non permise</w:t>
            </w:r>
          </w:p>
        </w:tc>
        <w:tc>
          <w:tcPr>
            <w:tcW w:type="dxa" w:w="4762"/>
          </w:tcPr>
          <w:p>
            <w:r/>
            <w:r>
              <w:rPr>
                <w:b w:val="0"/>
                <w:sz w:val="19"/>
              </w:rPr>
              <w:t>Ressource ou route inexistante / ex. GET sur /api/auth/login (toujours en JSON)</w:t>
            </w:r>
          </w:p>
        </w:tc>
      </w:tr>
      <w:tr>
        <w:tc>
          <w:tcPr>
            <w:tcW w:type="dxa" w:w="1814"/>
          </w:tcPr>
          <w:p>
            <w:r/>
            <w:r>
              <w:rPr>
                <w:b w:val="0"/>
                <w:sz w:val="19"/>
              </w:rPr>
              <w:t>422</w:t>
            </w:r>
          </w:p>
        </w:tc>
        <w:tc>
          <w:tcPr>
            <w:tcW w:type="dxa" w:w="2948"/>
          </w:tcPr>
          <w:p>
            <w:r/>
            <w:r>
              <w:rPr>
                <w:b w:val="0"/>
                <w:sz w:val="19"/>
              </w:rPr>
              <w:t>Erreur de validation</w:t>
            </w:r>
          </w:p>
        </w:tc>
        <w:tc>
          <w:tcPr>
            <w:tcW w:type="dxa" w:w="4762"/>
          </w:tcPr>
          <w:p>
            <w:r/>
            <w:r>
              <w:rPr>
                <w:b w:val="0"/>
                <w:sz w:val="19"/>
              </w:rPr>
              <w:t>Champ requis manquant, données invalides. Corps : message générique « Donnees invalides. » + errors { champ: [motif] }, motifs en français (resources/lang/fr) — l'écran affiche le premier motif (getErrorMessage)</w:t>
            </w:r>
          </w:p>
        </w:tc>
      </w:tr>
      <w:tr>
        <w:tc>
          <w:tcPr>
            <w:tcW w:type="dxa" w:w="1814"/>
          </w:tcPr>
          <w:p>
            <w:r/>
            <w:r>
              <w:rPr>
                <w:b w:val="0"/>
                <w:sz w:val="19"/>
              </w:rPr>
              <w:t>423 Locked</w:t>
            </w:r>
          </w:p>
        </w:tc>
        <w:tc>
          <w:tcPr>
            <w:tcW w:type="dxa" w:w="2948"/>
          </w:tcPr>
          <w:p>
            <w:r/>
            <w:r>
              <w:rPr>
                <w:b w:val="0"/>
                <w:sz w:val="19"/>
              </w:rPr>
              <w:t>Changement de mot de passe requis</w:t>
            </w:r>
          </w:p>
        </w:tc>
        <w:tc>
          <w:tcPr>
            <w:tcW w:type="dxa" w:w="4762"/>
          </w:tcPr>
          <w:p>
            <w:r/>
            <w:r>
              <w:rPr>
                <w:b w:val="0"/>
                <w:sz w:val="19"/>
              </w:rPr>
              <w:t>Compte en must_change_password</w:t>
            </w:r>
          </w:p>
        </w:tc>
      </w:tr>
      <w:tr>
        <w:tc>
          <w:tcPr>
            <w:tcW w:type="dxa" w:w="1814"/>
          </w:tcPr>
          <w:p>
            <w:r/>
            <w:r>
              <w:rPr>
                <w:b w:val="0"/>
                <w:sz w:val="19"/>
              </w:rPr>
              <w:t>429</w:t>
            </w:r>
          </w:p>
        </w:tc>
        <w:tc>
          <w:tcPr>
            <w:tcW w:type="dxa" w:w="2948"/>
          </w:tcPr>
          <w:p>
            <w:r/>
            <w:r>
              <w:rPr>
                <w:b w:val="0"/>
                <w:sz w:val="19"/>
              </w:rPr>
              <w:t>Trop de requêtes</w:t>
            </w:r>
          </w:p>
        </w:tc>
        <w:tc>
          <w:tcPr>
            <w:tcW w:type="dxa" w:w="4762"/>
          </w:tcPr>
          <w:p>
            <w:r/>
            <w:r>
              <w:rPr>
                <w:b w:val="0"/>
                <w:sz w:val="19"/>
              </w:rPr>
              <w:t>Dépassement du rate limiting</w:t>
            </w:r>
          </w:p>
        </w:tc>
      </w:tr>
      <w:tr>
        <w:tc>
          <w:tcPr>
            <w:tcW w:type="dxa" w:w="1814"/>
          </w:tcPr>
          <w:p>
            <w:r/>
            <w:r>
              <w:rPr>
                <w:b w:val="0"/>
                <w:sz w:val="19"/>
              </w:rPr>
              <w:t>500</w:t>
            </w:r>
          </w:p>
        </w:tc>
        <w:tc>
          <w:tcPr>
            <w:tcW w:type="dxa" w:w="2948"/>
          </w:tcPr>
          <w:p>
            <w:r/>
            <w:r>
              <w:rPr>
                <w:b w:val="0"/>
                <w:sz w:val="19"/>
              </w:rPr>
              <w:t>Erreur serveur</w:t>
            </w:r>
          </w:p>
        </w:tc>
        <w:tc>
          <w:tcPr>
            <w:tcW w:type="dxa" w:w="4762"/>
          </w:tcPr>
          <w:p>
            <w:r/>
            <w:r>
              <w:rPr>
                <w:b w:val="0"/>
                <w:sz w:val="19"/>
              </w:rPr>
              <w:t>Erreur interne inattendue</w:t>
            </w:r>
          </w:p>
        </w:tc>
      </w:tr>
      <w:tr>
        <w:tc>
          <w:tcPr>
            <w:tcW w:type="dxa" w:w="1814"/>
          </w:tcPr>
          <w:p>
            <w:r/>
            <w:r>
              <w:rPr>
                <w:b w:val="0"/>
                <w:sz w:val="19"/>
              </w:rPr>
              <w:t>503</w:t>
            </w:r>
          </w:p>
        </w:tc>
        <w:tc>
          <w:tcPr>
            <w:tcW w:type="dxa" w:w="2948"/>
          </w:tcPr>
          <w:p>
            <w:r/>
            <w:r>
              <w:rPr>
                <w:b w:val="0"/>
                <w:sz w:val="19"/>
              </w:rPr>
              <w:t>Service indisponible</w:t>
            </w:r>
          </w:p>
        </w:tc>
        <w:tc>
          <w:tcPr>
            <w:tcW w:type="dxa" w:w="4762"/>
          </w:tcPr>
          <w:p>
            <w:r/>
            <w:r>
              <w:rPr>
                <w:b w:val="0"/>
                <w:sz w:val="19"/>
              </w:rPr>
              <w:t>artisan down (mise à jour) ou mode maintenance de Paramètres (sauf SUPER_ADMIN) ; le SPA ouvre l'écran Maintenance</w:t>
            </w:r>
          </w:p>
        </w:tc>
      </w:tr>
    </w:tbl>
    <w:p/>
    <w:p>
      <w:pPr>
        <w:pStyle w:val="Heading1"/>
      </w:pPr>
      <w:r>
        <w:t>8. Intégrations Mobile Money (formats de fichiers)</w:t>
      </w:r>
    </w:p>
    <w:p>
      <w:r>
        <w:rPr>
          <w:b w:val="0"/>
          <w:i w:val="0"/>
        </w:rPr>
        <w:t>L'application produit des fichiers à déposer manuellement sur les plateformes opérateurs. Le numéro est normalisé au format international (229 + numéro national à 10 chiffres) ; le libellé est en majuscules. Un lot = 1 mission × 1 tranche × 1 opérateur (× 1 séquence).</w:t>
      </w:r>
    </w:p>
    <w:p>
      <w:pPr>
        <w:pStyle w:val="ListBullet"/>
      </w:pPr>
      <w:r>
        <w:t>Stockage : storage/app/private/paiements/{mission_id}/ (disque « local »){slug-objet}_{TRANCHE}[_COMPL{n}].{txt|xlsx} — un dossier par mission, le nom remis à la plateforme ne change pas.</w:t>
      </w:r>
    </w:p>
    <w:p>
      <w:pPr>
        <w:pStyle w:val="Heading2"/>
      </w:pPr>
      <w:r>
        <w:t>8.1 MTN Bénin — fichier .txt</w:t>
      </w:r>
    </w:p>
    <w:p>
      <w:pPr>
        <w:pStyle w:val="ListBullet"/>
      </w:pPr>
      <w:r>
        <w:t>Texte ASCII, séparateur VIRGULE, fins de ligne CRLF (\r\n), saut de ligne final.</w:t>
      </w:r>
    </w:p>
    <w:p>
      <w:pPr>
        <w:pStyle w:val="ListBullet"/>
      </w:pPr>
      <w:r>
        <w:t>En-tête : HDR,{COMPTE},{NB_LIGNES},{MONTANT_TOTAL} (compte en configuration).</w:t>
      </w:r>
    </w:p>
    <w:p>
      <w:pPr>
        <w:pStyle w:val="ListBullet"/>
      </w:pPr>
      <w:r>
        <w:t>Lignes de détail : {seq},MSISDN,{229+tel},{montant},{libellé MAJUSCULES}.</w:t>
      </w:r>
    </w:p>
    <w:p>
      <w:pPr>
        <w:pStyle w:val="ListBullet"/>
      </w:pPr>
      <w:r>
        <w:t>Contrôle d'intégrité : NB_LIGNES et MONTANT_TOTAL de l'en-tête = détail recalculé.</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HDR,SARALY,1,45000</w:t>
            </w:r>
          </w:p>
          <w:p>
            <w:r>
              <w:rPr>
                <w:rFonts w:ascii="Consolas" w:hAnsi="Consolas"/>
                <w:color w:val="FFFFFF"/>
                <w:sz w:val="18"/>
              </w:rPr>
              <w:t>1,MSISDN,2290167267455,45000,DADA RICHARD ATELIER REGIONAL</w:t>
            </w:r>
          </w:p>
        </w:tc>
      </w:tr>
    </w:tbl>
    <w:p/>
    <w:p>
      <w:pPr>
        <w:pStyle w:val="Heading2"/>
      </w:pPr>
      <w:r>
        <w:t>8.2 Moov Africa — fichier .xlsx</w:t>
      </w:r>
    </w:p>
    <w:p>
      <w:pPr>
        <w:pStyle w:val="ListBullet"/>
      </w:pPr>
      <w:r>
        <w:t>Feuille « Sheet1 ». Ligne 1 : en-tête fixe de 9 colonnes.</w:t>
      </w:r>
    </w:p>
    <w:p>
      <w:pPr>
        <w:pStyle w:val="ListBullet"/>
      </w:pPr>
      <w:r>
        <w:t>Receiver Identifier Type | IdentifierValue | Validation KYC | Validation KYC value | PayerAccountName | AccountName | Amount | Comment | VoucherSecretCode</w:t>
      </w:r>
    </w:p>
    <w:p>
      <w:pPr>
        <w:pStyle w:val="ListBullet"/>
      </w:pPr>
      <w:r>
        <w:t>Par bénéficiaire : A=MSISDN, B=229+téléphone EN TEXTE, C-F vides, G=montant (numérique), H=libellé MAJUSCULES, I vide.</w:t>
      </w:r>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Pourquoi le téléphone en texte : </w:t>
            </w:r>
            <w:r>
              <w:rPr>
                <w:sz w:val="20"/>
              </w:rPr>
              <w:t>La colonne B est forcée en TEXTE pour éviter la notation scientifique et la perte du préfixe ; le montant (G) reste numérique.</w:t>
            </w:r>
          </w:p>
        </w:tc>
      </w:tr>
    </w:tbl>
    <w:p/>
    <w:p>
      <w:pPr>
        <w:pStyle w:val="Heading1"/>
      </w:pPr>
      <w:r>
        <w:t>9. Environnements et déploiement</w:t>
      </w:r>
    </w:p>
    <w:p>
      <w:pPr>
        <w:pStyle w:val="Heading2"/>
      </w:pPr>
      <w:r>
        <w:t>9.1 Environnements</w:t>
      </w:r>
    </w:p>
    <w:tbl>
      <w:tblPr>
        <w:tblStyle w:val="TableGrid"/>
        <w:tblW w:type="auto" w:w="0"/>
        <w:jc w:val="center"/>
        <w:tblLayout w:type="fixed"/>
        <w:tblLook w:firstColumn="1" w:firstRow="1" w:lastColumn="0" w:lastRow="0" w:noHBand="0" w:noVBand="1" w:val="04A0"/>
      </w:tblPr>
      <w:tblGrid>
        <w:gridCol w:w="2608"/>
        <w:gridCol w:w="3969"/>
        <w:gridCol w:w="2948"/>
      </w:tblGrid>
      <w:tr>
        <w:tc>
          <w:tcPr>
            <w:tcW w:type="dxa" w:w="2608"/>
            <w:shd w:val="clear" w:fill="1D9E4F"/>
          </w:tcPr>
          <w:p>
            <w:r/>
            <w:r>
              <w:rPr>
                <w:b/>
                <w:color w:val="FFFFFF"/>
                <w:sz w:val="20"/>
              </w:rPr>
              <w:t>Environnement</w:t>
            </w:r>
          </w:p>
        </w:tc>
        <w:tc>
          <w:tcPr>
            <w:tcW w:type="dxa" w:w="3969"/>
            <w:shd w:val="clear" w:fill="1D9E4F"/>
          </w:tcPr>
          <w:p>
            <w:r/>
            <w:r>
              <w:rPr>
                <w:b/>
                <w:color w:val="FFFFFF"/>
                <w:sz w:val="20"/>
              </w:rPr>
              <w:t>Usage</w:t>
            </w:r>
          </w:p>
        </w:tc>
        <w:tc>
          <w:tcPr>
            <w:tcW w:type="dxa" w:w="2948"/>
            <w:shd w:val="clear" w:fill="1D9E4F"/>
          </w:tcPr>
          <w:p>
            <w:r/>
            <w:r>
              <w:rPr>
                <w:b/>
                <w:color w:val="FFFFFF"/>
                <w:sz w:val="20"/>
              </w:rPr>
              <w:t>Base de données</w:t>
            </w:r>
          </w:p>
        </w:tc>
      </w:tr>
      <w:tr>
        <w:tc>
          <w:tcPr>
            <w:tcW w:type="dxa" w:w="2608"/>
          </w:tcPr>
          <w:p>
            <w:r/>
            <w:r>
              <w:rPr>
                <w:b w:val="0"/>
                <w:sz w:val="19"/>
              </w:rPr>
              <w:t>Développement (local)</w:t>
            </w:r>
          </w:p>
        </w:tc>
        <w:tc>
          <w:tcPr>
            <w:tcW w:type="dxa" w:w="3969"/>
          </w:tcPr>
          <w:p>
            <w:r/>
            <w:r>
              <w:rPr>
                <w:b w:val="0"/>
                <w:sz w:val="19"/>
              </w:rPr>
              <w:t>WampServer + start-dev.ps1 / stop-dev.ps1 — données de test</w:t>
            </w:r>
          </w:p>
        </w:tc>
        <w:tc>
          <w:tcPr>
            <w:tcW w:type="dxa" w:w="2948"/>
          </w:tcPr>
          <w:p>
            <w:r/>
            <w:r>
              <w:rPr>
                <w:b w:val="0"/>
                <w:sz w:val="19"/>
              </w:rPr>
              <w:t>MySQL local / SQLite (tests)</w:t>
            </w:r>
          </w:p>
        </w:tc>
      </w:tr>
      <w:tr>
        <w:tc>
          <w:tcPr>
            <w:tcW w:type="dxa" w:w="2608"/>
          </w:tcPr>
          <w:p>
            <w:r/>
            <w:r>
              <w:rPr>
                <w:b w:val="0"/>
                <w:sz w:val="19"/>
              </w:rPr>
              <w:t>Préproduction</w:t>
            </w:r>
          </w:p>
        </w:tc>
        <w:tc>
          <w:tcPr>
            <w:tcW w:type="dxa" w:w="3969"/>
          </w:tcPr>
          <w:p>
            <w:r/>
            <w:r>
              <w:rPr>
                <w:b w:val="0"/>
                <w:sz w:val="19"/>
              </w:rPr>
              <w:t>Recette et validation utilisateurs</w:t>
            </w:r>
          </w:p>
        </w:tc>
        <w:tc>
          <w:tcPr>
            <w:tcW w:type="dxa" w:w="2948"/>
          </w:tcPr>
          <w:p>
            <w:r/>
            <w:r>
              <w:rPr>
                <w:b w:val="0"/>
                <w:sz w:val="19"/>
              </w:rPr>
              <w:t>MySQL préproduction</w:t>
            </w:r>
          </w:p>
        </w:tc>
      </w:tr>
      <w:tr>
        <w:tc>
          <w:tcPr>
            <w:tcW w:type="dxa" w:w="2608"/>
          </w:tcPr>
          <w:p>
            <w:r/>
            <w:r>
              <w:rPr>
                <w:b w:val="0"/>
                <w:sz w:val="19"/>
              </w:rPr>
              <w:t>Production</w:t>
            </w:r>
          </w:p>
        </w:tc>
        <w:tc>
          <w:tcPr>
            <w:tcW w:type="dxa" w:w="3969"/>
          </w:tcPr>
          <w:p>
            <w:r/>
            <w:r>
              <w:rPr>
                <w:b w:val="0"/>
                <w:sz w:val="19"/>
              </w:rPr>
              <w:t>Hébergement cPanel mutualisé (FTP, phpMyAdmin, Cron, AutoSSL)</w:t>
            </w:r>
          </w:p>
        </w:tc>
        <w:tc>
          <w:tcPr>
            <w:tcW w:type="dxa" w:w="2948"/>
          </w:tcPr>
          <w:p>
            <w:r/>
            <w:r>
              <w:rPr>
                <w:b w:val="0"/>
                <w:sz w:val="19"/>
              </w:rPr>
              <w:t>MySQL production sécurisée</w:t>
            </w:r>
          </w:p>
        </w:tc>
      </w:tr>
    </w:tbl>
    <w:p/>
    <w:p>
      <w:pPr>
        <w:pStyle w:val="Heading2"/>
      </w:pPr>
      <w:r>
        <w:t>9.2 Variables d'environnement critiques</w:t>
      </w:r>
    </w:p>
    <w:tbl>
      <w:tblPr>
        <w:tblStyle w:val="TableGrid"/>
        <w:tblW w:type="auto" w:w="0"/>
        <w:jc w:val="center"/>
        <w:tblLayout w:type="fixed"/>
        <w:tblLook w:firstColumn="1" w:firstRow="1" w:lastColumn="0" w:lastRow="0" w:noHBand="0" w:noVBand="1" w:val="04A0"/>
      </w:tblPr>
      <w:tblGrid>
        <w:gridCol w:w="4082"/>
        <w:gridCol w:w="5443"/>
      </w:tblGrid>
      <w:tr>
        <w:tc>
          <w:tcPr>
            <w:tcW w:type="dxa" w:w="4082"/>
            <w:shd w:val="clear" w:fill="1D9E4F"/>
          </w:tcPr>
          <w:p>
            <w:r/>
            <w:r>
              <w:rPr>
                <w:b/>
                <w:color w:val="FFFFFF"/>
                <w:sz w:val="20"/>
              </w:rPr>
              <w:t>Variable</w:t>
            </w:r>
          </w:p>
        </w:tc>
        <w:tc>
          <w:tcPr>
            <w:tcW w:type="dxa" w:w="5443"/>
            <w:shd w:val="clear" w:fill="1D9E4F"/>
          </w:tcPr>
          <w:p>
            <w:r/>
            <w:r>
              <w:rPr>
                <w:b/>
                <w:color w:val="FFFFFF"/>
                <w:sz w:val="20"/>
              </w:rPr>
              <w:t>Description</w:t>
            </w:r>
          </w:p>
        </w:tc>
      </w:tr>
      <w:tr>
        <w:tc>
          <w:tcPr>
            <w:tcW w:type="dxa" w:w="4082"/>
          </w:tcPr>
          <w:p>
            <w:r/>
            <w:r>
              <w:rPr>
                <w:b w:val="0"/>
                <w:sz w:val="19"/>
              </w:rPr>
              <w:t>APP_ENV / APP_DEBUG / APP_URL</w:t>
            </w:r>
          </w:p>
        </w:tc>
        <w:tc>
          <w:tcPr>
            <w:tcW w:type="dxa" w:w="5443"/>
          </w:tcPr>
          <w:p>
            <w:r/>
            <w:r>
              <w:rPr>
                <w:b w:val="0"/>
                <w:sz w:val="19"/>
              </w:rPr>
              <w:t>Environnement, débogage, URL de base de l'API</w:t>
            </w:r>
          </w:p>
        </w:tc>
      </w:tr>
      <w:tr>
        <w:tc>
          <w:tcPr>
            <w:tcW w:type="dxa" w:w="4082"/>
          </w:tcPr>
          <w:p>
            <w:r/>
            <w:r>
              <w:rPr>
                <w:b w:val="0"/>
                <w:sz w:val="19"/>
              </w:rPr>
              <w:t>APP_TIMEZONE</w:t>
            </w:r>
          </w:p>
        </w:tc>
        <w:tc>
          <w:tcPr>
            <w:tcW w:type="dxa" w:w="5443"/>
          </w:tcPr>
          <w:p>
            <w:r/>
            <w:r>
              <w:rPr>
                <w:b w:val="0"/>
                <w:sz w:val="19"/>
              </w:rPr>
              <w:t>Fuseau de l'application : Africa/Porto-Novo par défaut (heure du Bénin). À fixer AVANT la migration du fuseau ; UTC la rend sans effet</w:t>
            </w:r>
          </w:p>
        </w:tc>
      </w:tr>
      <w:tr>
        <w:tc>
          <w:tcPr>
            <w:tcW w:type="dxa" w:w="4082"/>
          </w:tcPr>
          <w:p>
            <w:r/>
            <w:r>
              <w:rPr>
                <w:b w:val="0"/>
                <w:sz w:val="19"/>
              </w:rPr>
              <w:t>DB_DATABASE / DB_USERNAME / DB_PASSWORD</w:t>
            </w:r>
          </w:p>
        </w:tc>
        <w:tc>
          <w:tcPr>
            <w:tcW w:type="dxa" w:w="5443"/>
          </w:tcPr>
          <w:p>
            <w:r/>
            <w:r>
              <w:rPr>
                <w:b w:val="0"/>
                <w:sz w:val="19"/>
              </w:rPr>
              <w:t>Connexion MySQL</w:t>
            </w:r>
          </w:p>
        </w:tc>
      </w:tr>
      <w:tr>
        <w:tc>
          <w:tcPr>
            <w:tcW w:type="dxa" w:w="4082"/>
          </w:tcPr>
          <w:p>
            <w:r/>
            <w:r>
              <w:rPr>
                <w:b w:val="0"/>
                <w:sz w:val="19"/>
              </w:rPr>
              <w:t>CACHE_STORE / SESSION_DRIVER / QUEUE_CONNECTION</w:t>
            </w:r>
          </w:p>
        </w:tc>
        <w:tc>
          <w:tcPr>
            <w:tcW w:type="dxa" w:w="5443"/>
          </w:tcPr>
          <w:p>
            <w:r/>
            <w:r>
              <w:rPr>
                <w:b w:val="0"/>
                <w:sz w:val="19"/>
              </w:rPr>
              <w:t>Production mutualisée : file / file / sync (aucun worker ni Redis) ; database ou redis si un worker traite la file</w:t>
            </w:r>
          </w:p>
        </w:tc>
      </w:tr>
      <w:tr>
        <w:tc>
          <w:tcPr>
            <w:tcW w:type="dxa" w:w="4082"/>
          </w:tcPr>
          <w:p>
            <w:r/>
            <w:r>
              <w:rPr>
                <w:b w:val="0"/>
                <w:sz w:val="19"/>
              </w:rPr>
              <w:t>SUPERADMIN_EMAIL / SUPERADMIN_PASSWORD</w:t>
            </w:r>
          </w:p>
        </w:tc>
        <w:tc>
          <w:tcPr>
            <w:tcW w:type="dxa" w:w="5443"/>
          </w:tcPr>
          <w:p>
            <w:r/>
            <w:r>
              <w:rPr>
                <w:b w:val="0"/>
                <w:sz w:val="19"/>
              </w:rPr>
              <w:t>Super admin initial (mot de passe OBLIGATOIRE en production)</w:t>
            </w:r>
          </w:p>
        </w:tc>
      </w:tr>
      <w:tr>
        <w:tc>
          <w:tcPr>
            <w:tcW w:type="dxa" w:w="4082"/>
          </w:tcPr>
          <w:p>
            <w:r/>
            <w:r>
              <w:rPr>
                <w:b w:val="0"/>
                <w:sz w:val="19"/>
              </w:rPr>
              <w:t>MAIL_MAILER / MAIL_HOST / MAIL_FROM_ADDRESS</w:t>
            </w:r>
          </w:p>
        </w:tc>
        <w:tc>
          <w:tcPr>
            <w:tcW w:type="dxa" w:w="5443"/>
          </w:tcPr>
          <w:p>
            <w:r/>
            <w:r>
              <w:rPr>
                <w:b w:val="0"/>
                <w:sz w:val="19"/>
              </w:rPr>
              <w:t>Configuration SMTP (remplacée par l'écran Messagerie si un serveur y est renseigné)</w:t>
            </w:r>
          </w:p>
        </w:tc>
      </w:tr>
      <w:tr>
        <w:tc>
          <w:tcPr>
            <w:tcW w:type="dxa" w:w="4082"/>
          </w:tcPr>
          <w:p>
            <w:r/>
            <w:r>
              <w:rPr>
                <w:b w:val="0"/>
                <w:sz w:val="19"/>
              </w:rPr>
              <w:t>APP_KEY</w:t>
            </w:r>
          </w:p>
        </w:tc>
        <w:tc>
          <w:tcPr>
            <w:tcW w:type="dxa" w:w="5443"/>
          </w:tcPr>
          <w:p>
            <w:r/>
            <w:r>
              <w:rPr>
                <w:b w:val="0"/>
                <w:sz w:val="19"/>
              </w:rPr>
              <w:t>Chiffrement et scellés HMAC des états — ne jamais régénérer en production</w:t>
            </w:r>
          </w:p>
        </w:tc>
      </w:tr>
      <w:tr>
        <w:tc>
          <w:tcPr>
            <w:tcW w:type="dxa" w:w="4082"/>
          </w:tcPr>
          <w:p>
            <w:r/>
            <w:r>
              <w:rPr>
                <w:b w:val="0"/>
                <w:sz w:val="19"/>
              </w:rPr>
              <w:t>DB_DUMP_BINARY / DB_RESTORE_BINARY</w:t>
            </w:r>
          </w:p>
        </w:tc>
        <w:tc>
          <w:tcPr>
            <w:tcW w:type="dxa" w:w="5443"/>
          </w:tcPr>
          <w:p>
            <w:r/>
            <w:r>
              <w:rPr>
                <w:b w:val="0"/>
                <w:sz w:val="19"/>
              </w:rPr>
              <w:t>Binaires mysqldump / mysql utilisés par db:backup / db:restore</w:t>
            </w:r>
          </w:p>
        </w:tc>
      </w:tr>
      <w:tr>
        <w:tc>
          <w:tcPr>
            <w:tcW w:type="dxa" w:w="4082"/>
          </w:tcPr>
          <w:p>
            <w:r/>
            <w:r>
              <w:rPr>
                <w:b w:val="0"/>
                <w:sz w:val="19"/>
              </w:rPr>
              <w:t>SANCTUM_STATEFUL_DOMAINS</w:t>
            </w:r>
          </w:p>
        </w:tc>
        <w:tc>
          <w:tcPr>
            <w:tcW w:type="dxa" w:w="5443"/>
          </w:tcPr>
          <w:p>
            <w:r/>
            <w:r>
              <w:rPr>
                <w:b w:val="0"/>
                <w:sz w:val="19"/>
              </w:rPr>
              <w:t>Laissée vide : authentification par jeton Bearer, sans cookie inter-domaines</w:t>
            </w:r>
          </w:p>
        </w:tc>
      </w:tr>
      <w:tr>
        <w:tc>
          <w:tcPr>
            <w:tcW w:type="dxa" w:w="4082"/>
          </w:tcPr>
          <w:p>
            <w:r/>
            <w:r>
              <w:rPr>
                <w:b w:val="0"/>
                <w:sz w:val="19"/>
              </w:rPr>
              <w:t>FRONTEND_URL / CORS_ALLOWED_ORIGINS</w:t>
            </w:r>
          </w:p>
        </w:tc>
        <w:tc>
          <w:tcPr>
            <w:tcW w:type="dxa" w:w="5443"/>
          </w:tcPr>
          <w:p>
            <w:r/>
            <w:r>
              <w:rPr>
                <w:b w:val="0"/>
                <w:sz w:val="19"/>
              </w:rPr>
              <w:t>Racine du SPA (liens des e-mails de réinitialisation) / origine autorisée</w:t>
            </w:r>
          </w:p>
        </w:tc>
      </w:tr>
      <w:tr>
        <w:tc>
          <w:tcPr>
            <w:tcW w:type="dxa" w:w="4082"/>
          </w:tcPr>
          <w:p>
            <w:r/>
            <w:r>
              <w:rPr>
                <w:b w:val="0"/>
                <w:sz w:val="19"/>
              </w:rPr>
              <w:t>MTN_COMPTE / PAIEMENT_ASYNC_SEUIL</w:t>
            </w:r>
          </w:p>
        </w:tc>
        <w:tc>
          <w:tcPr>
            <w:tcW w:type="dxa" w:w="5443"/>
          </w:tcPr>
          <w:p>
            <w:r/>
            <w:r>
              <w:rPr>
                <w:b w:val="0"/>
                <w:sz w:val="19"/>
              </w:rPr>
              <w:t>Compte payeur de l'en-tête MTN (HDR) / seuil de bascule en file (50)</w:t>
            </w:r>
          </w:p>
        </w:tc>
      </w:tr>
      <w:tr>
        <w:tc>
          <w:tcPr>
            <w:tcW w:type="dxa" w:w="4082"/>
          </w:tcPr>
          <w:p>
            <w:r/>
            <w:r>
              <w:rPr>
                <w:b w:val="0"/>
                <w:sz w:val="19"/>
              </w:rPr>
              <w:t>WORKFLOW_SEPARATION_TACHES</w:t>
            </w:r>
          </w:p>
        </w:tc>
        <w:tc>
          <w:tcPr>
            <w:tcW w:type="dxa" w:w="5443"/>
          </w:tcPr>
          <w:p>
            <w:r/>
            <w:r>
              <w:rPr>
                <w:b w:val="0"/>
                <w:sz w:val="19"/>
              </w:rPr>
              <w:t>Séparation des tâches du circuit (true par défaut)</w:t>
            </w:r>
          </w:p>
        </w:tc>
      </w:tr>
      <w:tr>
        <w:tc>
          <w:tcPr>
            <w:tcW w:type="dxa" w:w="4082"/>
          </w:tcPr>
          <w:p>
            <w:r/>
            <w:r>
              <w:rPr>
                <w:b w:val="0"/>
                <w:sz w:val="19"/>
              </w:rPr>
              <w:t>CONTROLEUR_* / DAF_* / DG_*</w:t>
            </w:r>
          </w:p>
        </w:tc>
        <w:tc>
          <w:tcPr>
            <w:tcW w:type="dxa" w:w="5443"/>
          </w:tcPr>
          <w:p>
            <w:r/>
            <w:r>
              <w:rPr>
                <w:b w:val="0"/>
                <w:sz w:val="19"/>
              </w:rPr>
              <w:t>Comptes nominatifs créés par ComptesCircuitSeeder (NAME, EMAIL, FONCTION)</w:t>
            </w:r>
          </w:p>
        </w:tc>
      </w:tr>
    </w:tbl>
    <w:p/>
    <w:tbl>
      <w:tblPr>
        <w:tblW w:type="auto" w:w="0"/>
        <w:jc w:val="center"/>
        <w:tblLook w:firstColumn="1" w:firstRow="1" w:lastColumn="0" w:lastRow="0" w:noHBand="0" w:noVBand="1" w:val="04A0"/>
      </w:tblPr>
      <w:tblGrid>
        <w:gridCol w:w="8640"/>
      </w:tblGrid>
      <w:tr>
        <w:tc>
          <w:tcPr>
            <w:tcW w:type="dxa" w:w="9524"/>
            <w:shd w:val="clear" w:fill="EDFAF2"/>
          </w:tcPr>
          <w:p>
            <w:r>
              <w:rPr>
                <w:b/>
                <w:color w:val="0A3D1F"/>
                <w:sz w:val="20"/>
              </w:rPr>
              <w:t xml:space="preserve">Configuration runtime du frontend : </w:t>
            </w:r>
            <w:r>
              <w:rPr>
                <w:sz w:val="20"/>
              </w:rPr>
              <w:t>L'URL de l'API est éditable APRÈS build dans frontend/dist/runtime-config.js (window.__ANATT_CONFIG__.apiUrl), sans recompiler.</w:t>
            </w:r>
          </w:p>
        </w:tc>
      </w:tr>
    </w:tbl>
    <w:p/>
    <w:p>
      <w:pPr>
        <w:pStyle w:val="Heading2"/>
      </w:pPr>
      <w:r>
        <w:t>9.3 Commandes de démarrage</w:t>
      </w:r>
    </w:p>
    <w:tbl>
      <w:tblPr>
        <w:tblW w:type="auto" w:w="0"/>
        <w:jc w:val="center"/>
        <w:tblLook w:firstColumn="1" w:firstRow="1" w:lastColumn="0" w:lastRow="0" w:noHBand="0" w:noVBand="1" w:val="04A0"/>
      </w:tblPr>
      <w:tblGrid>
        <w:gridCol w:w="8640"/>
      </w:tblGrid>
      <w:tr>
        <w:tc>
          <w:tcPr>
            <w:tcW w:type="dxa" w:w="9524"/>
            <w:shd w:val="clear" w:fill="0A3D1F"/>
          </w:tcPr>
          <w:p>
            <w:r/>
            <w:r>
              <w:rPr>
                <w:rFonts w:ascii="Consolas" w:hAnsi="Consolas"/>
                <w:color w:val="FFFFFF"/>
                <w:sz w:val="18"/>
              </w:rPr>
              <w:t># Backend (Laravel)</w:t>
            </w:r>
          </w:p>
          <w:p>
            <w:r>
              <w:rPr>
                <w:rFonts w:ascii="Consolas" w:hAnsi="Consolas"/>
                <w:color w:val="FFFFFF"/>
                <w:sz w:val="18"/>
              </w:rPr>
              <w:t>composer install --no-dev --optimize-autoloader</w:t>
            </w:r>
          </w:p>
          <w:p>
            <w:r>
              <w:rPr>
                <w:rFonts w:ascii="Consolas" w:hAnsi="Consolas"/>
                <w:color w:val="FFFFFF"/>
                <w:sz w:val="18"/>
              </w:rPr>
              <w:t>php artisan key:generate</w:t>
            </w:r>
          </w:p>
          <w:p>
            <w:r>
              <w:rPr>
                <w:rFonts w:ascii="Consolas" w:hAnsi="Consolas"/>
                <w:color w:val="FFFFFF"/>
                <w:sz w:val="18"/>
              </w:rPr>
              <w:t>php artisan migrate --seed</w:t>
            </w:r>
          </w:p>
          <w:p>
            <w:r>
              <w:rPr>
                <w:rFonts w:ascii="Consolas" w:hAnsi="Consolas"/>
                <w:color w:val="FFFFFF"/>
                <w:sz w:val="18"/>
              </w:rPr>
              <w:t>php artisan storage:link</w:t>
            </w:r>
          </w:p>
          <w:p>
            <w:r>
              <w:rPr>
                <w:rFonts w:ascii="Consolas" w:hAnsi="Consolas"/>
                <w:color w:val="FFFFFF"/>
                <w:sz w:val="18"/>
              </w:rPr>
              <w:t>php artisan config:cache &amp;&amp; php artisan route:cache   # mise à jour : optimize:clear AVANT migrate</w:t>
            </w:r>
          </w:p>
          <w:p>
            <w:r>
              <w:rPr>
                <w:rFonts w:ascii="Consolas" w:hAnsi="Consolas"/>
                <w:color w:val="FFFFFF"/>
                <w:sz w:val="18"/>
              </w:rPr>
              <w:t>php artisan queue:work --queue=paiements,etats,default --tries=3   # worker (si QUEUE_CONNECTION ≠ sync)</w:t>
            </w:r>
          </w:p>
          <w:p>
            <w:r>
              <w:rPr>
                <w:rFonts w:ascii="Consolas" w:hAnsi="Consolas"/>
                <w:color w:val="FFFFFF"/>
                <w:sz w:val="18"/>
              </w:rPr>
              <w:t>#   Cron mutualisé (QUEUE_CONNECTION=database) : même ligne + --stop-when-empty, chaque minute</w:t>
            </w:r>
          </w:p>
          <w:p>
            <w:r>
              <w:rPr>
                <w:rFonts w:ascii="Consolas" w:hAnsi="Consolas"/>
                <w:color w:val="FFFFFF"/>
                <w:sz w:val="18"/>
              </w:rPr>
              <w:t>php artisan schedule:run           # cron chaque minute : db:backup 02:00, purge des tokens</w:t>
            </w:r>
          </w:p>
          <w:p>
            <w:r>
              <w:rPr>
                <w:rFonts w:ascii="Consolas" w:hAnsi="Consolas"/>
                <w:color w:val="FFFFFF"/>
                <w:sz w:val="18"/>
              </w:rPr>
              <w:t>php artisan db:restore &lt;fichier&gt;   # restauration (sauvegarde de sécurité préalable)</w:t>
            </w:r>
          </w:p>
          <w:p>
            <w:r>
              <w:rPr>
                <w:rFonts w:ascii="Consolas" w:hAnsi="Consolas"/>
                <w:color w:val="FFFFFF"/>
                <w:sz w:val="18"/>
              </w:rPr>
            </w:r>
          </w:p>
          <w:p>
            <w:r>
              <w:rPr>
                <w:rFonts w:ascii="Consolas" w:hAnsi="Consolas"/>
                <w:color w:val="FFFFFF"/>
                <w:sz w:val="18"/>
              </w:rPr>
              <w:t># Frontend (Vue)</w:t>
            </w:r>
          </w:p>
          <w:p>
            <w:r>
              <w:rPr>
                <w:rFonts w:ascii="Consolas" w:hAnsi="Consolas"/>
                <w:color w:val="FFFFFF"/>
                <w:sz w:val="18"/>
              </w:rPr>
              <w:t>cd frontend &amp;&amp; npm ci &amp;&amp; npm run build      # npm ci : versions exactes du lock</w:t>
            </w:r>
          </w:p>
          <w:p>
            <w:r>
              <w:rPr>
                <w:rFonts w:ascii="Consolas" w:hAnsi="Consolas"/>
                <w:color w:val="FFFFFF"/>
                <w:sz w:val="18"/>
              </w:rPr>
            </w:r>
          </w:p>
          <w:p>
            <w:r>
              <w:rPr>
                <w:rFonts w:ascii="Consolas" w:hAnsi="Consolas"/>
                <w:color w:val="FFFFFF"/>
                <w:sz w:val="18"/>
              </w:rPr>
              <w:t># Windows : environnement de dev complet (API, worker, Vite)</w:t>
            </w:r>
          </w:p>
          <w:p>
            <w:r>
              <w:rPr>
                <w:rFonts w:ascii="Consolas" w:hAnsi="Consolas"/>
                <w:color w:val="FFFFFF"/>
                <w:sz w:val="18"/>
              </w:rPr>
              <w:t>.\start-dev.ps1 [-Install -Fresh]   /   .\stop-dev.ps1</w:t>
            </w:r>
          </w:p>
        </w:tc>
      </w:tr>
    </w:tbl>
    <w:p/>
    <w:p>
      <w:pPr>
        <w:pStyle w:val="Heading2"/>
      </w:pPr>
      <w:r>
        <w:t>9.4 Comptes de démonstration (local uniquement)</w:t>
      </w:r>
    </w:p>
    <w:p>
      <w:r>
        <w:rPr>
          <w:b w:val="0"/>
          <w:i/>
          <w:color w:val="4B5563"/>
        </w:rPr>
        <w:t>En environnement local/testing, le seeder crée un compte par profil (mot de passe « password ») : superadmin@, admin@, gestion@, finance@, controle@, daf@, dg@, lecteur@anatt.bj. Ces comptes ne sont JAMAIS créés en production.</w:t>
      </w:r>
    </w:p>
    <w:p>
      <w:r>
        <w:rPr>
          <w:b w:val="0"/>
          <w:i w:val="0"/>
        </w:rPr>
        <w:t>En production, les signataires du circuit se créent par php artisan db:seed --class=ComptesCircuitSeeder --force : mot de passe temporaire affiché une seule fois, changement imposé à la première connexion. Le seeder ne réinitialise aucun mot de passe et ne rétrograde jamais un super administrateur.</w:t>
      </w:r>
    </w:p>
    <w:p>
      <w:pPr>
        <w:pStyle w:val="Heading2"/>
      </w:pPr>
      <w:r>
        <w:t>9.5 Mise à jour d'une instance (version 1.3)</w:t>
      </w:r>
    </w:p>
    <w:p>
      <w:pPr>
        <w:pStyle w:val="ListBullet"/>
      </w:pPr>
      <w:r>
        <w:t>Migration à jouer : 2026_10_22_090000_add_sequence_to_lots_paiement (colonne sequence, nouvelle clé unique créée avant la suppression de l'ancienne — compatible MySQL / clé étrangère).</w:t>
      </w:r>
    </w:p>
    <w:p>
      <w:pPr>
        <w:pStyle w:val="ListBullet"/>
      </w:pPr>
      <w:r>
        <w:t>Procédure sans SSH : DEPLOY-CPANEL.md et docs/runbook-mise-a-jour-cron.md (PHP 8.4.x 64 bits obligatoire, ni 8.3 ni 8.5). Les correctifs n° 17 à 32 ne portent que sur le code : aucune autre migration, vendor/ inchangé, SPA à redéployer.</w:t>
      </w:r>
    </w:p>
    <w:p>
      <w:pPr>
        <w:pStyle w:val="ListBullet"/>
      </w:pPr>
      <w:r>
        <w:t>Tester une restauration (db:restore) sur un environnement de recette MySQL avant la production.</w:t>
      </w:r>
    </w:p>
    <w:p>
      <w:pPr>
        <w:pStyle w:val="ListBullet"/>
      </w:pPr>
      <w:r>
        <w:t>Après la mise à jour, vider storage/app/private/ordres/ : un OM sans état ni amendement garde la même clé de cache et son ancien PDF afficherait le taux journalier transport compris. Les PDF se régénèrent à la demande.</w:t>
      </w:r>
    </w:p>
    <w:p>
      <w:pPr>
        <w:pStyle w:val="ListBullet"/>
      </w:pPr>
      <w:r>
        <w:t>Supprimer sur le serveur app/Http/Requests/StoreOrdreMissionRequest.php et UpdateOrdreMissionRequest.php : un envoi FTP n'efface pas les fichiers retirés du dépôt.</w:t>
      </w:r>
    </w:p>
    <w:p>
      <w:pPr>
        <w:pStyle w:val="ListBullet"/>
      </w:pPr>
      <w:r>
        <w:t>Si la file passe en QUEUE_CONNECTION=database : la tâche Cron queue:work doit nommer les trois files (--queue=paiements,etats,default), sinon les gros lots restent INTROUVABLE.</w:t>
      </w:r>
    </w:p>
    <w:p>
      <w:pPr>
        <w:pStyle w:val="Heading2"/>
      </w:pPr>
      <w:r>
        <w:t>9.6 Mise à jour d'une instance (version 1.4)</w:t>
      </w:r>
    </w:p>
    <w:p>
      <w:pPr>
        <w:pStyle w:val="ListBullet"/>
      </w:pPr>
      <w:r>
        <w:t>Migration à jouer : 2026_10_26_090000_passer_horodatages_au_fuseau_applicatif (34 migrations en tout). Elle décale d'une heure les date-heures existantes ; à jouer une seule fois, application EN MAINTENANCE pendant l'envoi du code et la migration (une écriture intermédiaire serait décalée deux fois).</w:t>
      </w:r>
    </w:p>
    <w:p>
      <w:pPr>
        <w:pStyle w:val="ListBullet"/>
      </w:pPr>
      <w:r>
        <w:t>Purger les caches AVANT migrate (optimize:clear) : avec une configuration en cache encore en UTC, la migration ne décalerait rien. Les commandes de DEPLOY-CPANEL.md et du runbook enchaînent désormais optimize:clear → migrate → optimize:clear.</w:t>
      </w:r>
    </w:p>
    <w:p>
      <w:pPr>
        <w:pStyle w:val="ListBullet"/>
      </w:pPr>
      <w:r>
        <w:t>Contrôle : un date_paiement relevé avant la mise à jour a pris une heure en base, et l'écran affiche la même heure qu'avant (docs/checklist-post-deploiement.md §06, Version 1.4).</w:t>
      </w:r>
    </w:p>
    <w:p>
      <w:pPr>
        <w:pStyle w:val="ListBullet"/>
      </w:pPr>
      <w:r>
        <w:t>vendor/ inchangé ; SPA à redéployer (dépendances retirées, écran de génération, correctifs d'interface).</w:t>
      </w:r>
    </w:p>
    <w:p>
      <w:pPr>
        <w:pStyle w:val="ListBullet"/>
      </w:pPr>
      <w:r>
        <w:t>Correctifs des 27-29/10 (n° 33 à 49) : code seul, aucune migration de plus. Relire storage/app/settings.json avant l'envoi du code : les réglages de Paramètres et de Messagerie qu'il contient s'appliquent dès lors. Le nouveau fichier resources/lang/fr/validation.php part avec resources/, déjà envoyé à chaque mise à jour.</w:t>
      </w:r>
    </w:p>
    <w:p>
      <w:pPr>
        <w:pStyle w:val="Heading1"/>
      </w:pPr>
      <w:r>
        <w:t>10. Qualité et tests</w:t>
      </w:r>
    </w:p>
    <w:tbl>
      <w:tblPr>
        <w:tblStyle w:val="TableGrid"/>
        <w:tblW w:type="auto" w:w="0"/>
        <w:jc w:val="center"/>
        <w:tblLayout w:type="fixed"/>
        <w:tblLook w:firstColumn="1" w:firstRow="1" w:lastColumn="0" w:lastRow="0" w:noHBand="0" w:noVBand="1" w:val="04A0"/>
      </w:tblPr>
      <w:tblGrid>
        <w:gridCol w:w="1814"/>
        <w:gridCol w:w="2381"/>
        <w:gridCol w:w="3742"/>
        <w:gridCol w:w="1587"/>
      </w:tblGrid>
      <w:tr>
        <w:tc>
          <w:tcPr>
            <w:tcW w:type="dxa" w:w="1814"/>
            <w:shd w:val="clear" w:fill="1D9E4F"/>
          </w:tcPr>
          <w:p>
            <w:r/>
            <w:r>
              <w:rPr>
                <w:b/>
                <w:color w:val="FFFFFF"/>
                <w:sz w:val="20"/>
              </w:rPr>
              <w:t>Suite</w:t>
            </w:r>
          </w:p>
        </w:tc>
        <w:tc>
          <w:tcPr>
            <w:tcW w:type="dxa" w:w="2381"/>
            <w:shd w:val="clear" w:fill="1D9E4F"/>
          </w:tcPr>
          <w:p>
            <w:r/>
            <w:r>
              <w:rPr>
                <w:b/>
                <w:color w:val="FFFFFF"/>
                <w:sz w:val="20"/>
              </w:rPr>
              <w:t>Outil</w:t>
            </w:r>
          </w:p>
        </w:tc>
        <w:tc>
          <w:tcPr>
            <w:tcW w:type="dxa" w:w="3742"/>
            <w:shd w:val="clear" w:fill="1D9E4F"/>
          </w:tcPr>
          <w:p>
            <w:r/>
            <w:r>
              <w:rPr>
                <w:b/>
                <w:color w:val="FFFFFF"/>
                <w:sz w:val="20"/>
              </w:rPr>
              <w:t>Périmètre</w:t>
            </w:r>
          </w:p>
        </w:tc>
        <w:tc>
          <w:tcPr>
            <w:tcW w:type="dxa" w:w="1587"/>
            <w:shd w:val="clear" w:fill="1D9E4F"/>
          </w:tcPr>
          <w:p>
            <w:r/>
            <w:r>
              <w:rPr>
                <w:b/>
                <w:color w:val="FFFFFF"/>
                <w:sz w:val="20"/>
              </w:rPr>
              <w:t>Volume (oct. 2026)</w:t>
            </w:r>
          </w:p>
        </w:tc>
      </w:tr>
      <w:tr>
        <w:tc>
          <w:tcPr>
            <w:tcW w:type="dxa" w:w="1814"/>
          </w:tcPr>
          <w:p>
            <w:r/>
            <w:r>
              <w:rPr>
                <w:b w:val="0"/>
                <w:sz w:val="19"/>
              </w:rPr>
              <w:t>Unitaires backend</w:t>
            </w:r>
          </w:p>
        </w:tc>
        <w:tc>
          <w:tcPr>
            <w:tcW w:type="dxa" w:w="2381"/>
          </w:tcPr>
          <w:p>
            <w:r/>
            <w:r>
              <w:rPr>
                <w:b w:val="0"/>
                <w:sz w:val="19"/>
              </w:rPr>
              <w:t>Pest — tests/Unit</w:t>
            </w:r>
          </w:p>
        </w:tc>
        <w:tc>
          <w:tcPr>
            <w:tcW w:type="dxa" w:w="3742"/>
          </w:tcPr>
          <w:p>
            <w:r/>
            <w:r>
              <w:rPr>
                <w:b w:val="0"/>
                <w:sz w:val="19"/>
              </w:rPr>
              <w:t>Calcul per diem, barème, catégories, montant en lettres</w:t>
            </w:r>
          </w:p>
        </w:tc>
        <w:tc>
          <w:tcPr>
            <w:tcW w:type="dxa" w:w="1587"/>
          </w:tcPr>
          <w:p>
            <w:r/>
            <w:r>
              <w:rPr>
                <w:b w:val="0"/>
                <w:sz w:val="19"/>
              </w:rPr>
              <w:t>129 tests</w:t>
            </w:r>
          </w:p>
        </w:tc>
      </w:tr>
      <w:tr>
        <w:tc>
          <w:tcPr>
            <w:tcW w:type="dxa" w:w="1814"/>
          </w:tcPr>
          <w:p>
            <w:r/>
            <w:r>
              <w:rPr>
                <w:b w:val="0"/>
                <w:sz w:val="19"/>
              </w:rPr>
              <w:t>Intégrité backend</w:t>
            </w:r>
          </w:p>
        </w:tc>
        <w:tc>
          <w:tcPr>
            <w:tcW w:type="dxa" w:w="2381"/>
          </w:tcPr>
          <w:p>
            <w:r/>
            <w:r>
              <w:rPr>
                <w:b w:val="0"/>
                <w:sz w:val="19"/>
              </w:rPr>
              <w:t>Pest — tests/Feature (SQLite)</w:t>
            </w:r>
          </w:p>
        </w:tc>
        <w:tc>
          <w:tcPr>
            <w:tcW w:type="dxa" w:w="3742"/>
          </w:tcPr>
          <w:p>
            <w:r/>
            <w:r>
              <w:rPr>
                <w:b w:val="0"/>
                <w:sz w:val="19"/>
              </w:rPr>
              <w:t>API complète : circuits, scellés, idempotence, RBAC, amendement, paiements, sauvegardes, PDF</w:t>
            </w:r>
          </w:p>
        </w:tc>
        <w:tc>
          <w:tcPr>
            <w:tcW w:type="dxa" w:w="1587"/>
          </w:tcPr>
          <w:p>
            <w:r/>
            <w:r>
              <w:rPr>
                <w:b w:val="0"/>
                <w:sz w:val="19"/>
              </w:rPr>
              <w:t>702 tests (79 fichiers) : 693 sur SQLite + 9 sur MySQL réel</w:t>
            </w:r>
          </w:p>
        </w:tc>
      </w:tr>
      <w:tr>
        <w:tc>
          <w:tcPr>
            <w:tcW w:type="dxa" w:w="1814"/>
          </w:tcPr>
          <w:p>
            <w:r/>
            <w:r>
              <w:rPr>
                <w:b w:val="0"/>
                <w:sz w:val="19"/>
              </w:rPr>
              <w:t>Intégrité MySQL</w:t>
            </w:r>
          </w:p>
        </w:tc>
        <w:tc>
          <w:tcPr>
            <w:tcW w:type="dxa" w:w="2381"/>
          </w:tcPr>
          <w:p>
            <w:r/>
            <w:r>
              <w:rPr>
                <w:b w:val="0"/>
                <w:sz w:val="19"/>
              </w:rPr>
              <w:t>Pest — tests/Mysql (groupe mysql)</w:t>
            </w:r>
          </w:p>
        </w:tc>
        <w:tc>
          <w:tcPr>
            <w:tcW w:type="dxa" w:w="3742"/>
          </w:tcPr>
          <w:p>
            <w:r/>
            <w:r>
              <w:rPr>
                <w:b w:val="0"/>
                <w:sz w:val="19"/>
              </w:rPr>
              <w:t>db:backup / db:restore réels (aller-retour, sauvegarde de sécurité, purge de la matrice, dump invalide), tri des sauvegardes, verrou lockForUpdate de l'amendement</w:t>
            </w:r>
          </w:p>
        </w:tc>
        <w:tc>
          <w:tcPr>
            <w:tcW w:type="dxa" w:w="1587"/>
          </w:tcPr>
          <w:p>
            <w:r/>
            <w:r>
              <w:rPr>
                <w:b w:val="0"/>
                <w:sz w:val="19"/>
              </w:rPr>
              <w:t>9 tests (job CI sur MySQL 8)</w:t>
            </w:r>
          </w:p>
        </w:tc>
      </w:tr>
      <w:tr>
        <w:tc>
          <w:tcPr>
            <w:tcW w:type="dxa" w:w="1814"/>
          </w:tcPr>
          <w:p>
            <w:r/>
            <w:r>
              <w:rPr>
                <w:b w:val="0"/>
                <w:sz w:val="19"/>
              </w:rPr>
              <w:t>Unitaires frontend</w:t>
            </w:r>
          </w:p>
        </w:tc>
        <w:tc>
          <w:tcPr>
            <w:tcW w:type="dxa" w:w="2381"/>
          </w:tcPr>
          <w:p>
            <w:r/>
            <w:r>
              <w:rPr>
                <w:b w:val="0"/>
                <w:sz w:val="19"/>
              </w:rPr>
              <w:t>Vitest + Vue Test Utils</w:t>
            </w:r>
          </w:p>
        </w:tc>
        <w:tc>
          <w:tcPr>
            <w:tcW w:type="dxa" w:w="3742"/>
          </w:tcPr>
          <w:p>
            <w:r/>
            <w:r>
              <w:rPr>
                <w:b w:val="0"/>
                <w:sz w:val="19"/>
              </w:rPr>
              <w:t>Vues, services, stores, navigation ↔ permissions, minuteurs, page de maintenance</w:t>
            </w:r>
          </w:p>
        </w:tc>
        <w:tc>
          <w:tcPr>
            <w:tcW w:type="dxa" w:w="1587"/>
          </w:tcPr>
          <w:p>
            <w:r/>
            <w:r>
              <w:rPr>
                <w:b w:val="0"/>
                <w:sz w:val="19"/>
              </w:rPr>
              <w:t>241 tests</w:t>
            </w:r>
          </w:p>
        </w:tc>
      </w:tr>
      <w:tr>
        <w:tc>
          <w:tcPr>
            <w:tcW w:type="dxa" w:w="1814"/>
          </w:tcPr>
          <w:p>
            <w:r/>
            <w:r>
              <w:rPr>
                <w:b w:val="0"/>
                <w:sz w:val="19"/>
              </w:rPr>
              <w:t>Recette API réelle</w:t>
            </w:r>
          </w:p>
        </w:tc>
        <w:tc>
          <w:tcPr>
            <w:tcW w:type="dxa" w:w="2381"/>
          </w:tcPr>
          <w:p>
            <w:r/>
            <w:r>
              <w:rPr>
                <w:b w:val="0"/>
                <w:sz w:val="19"/>
              </w:rPr>
              <w:t>scripts/recette (Node, sans dépendance)</w:t>
            </w:r>
          </w:p>
        </w:tc>
        <w:tc>
          <w:tcPr>
            <w:tcW w:type="dxa" w:w="3742"/>
          </w:tcPr>
          <w:p>
            <w:r/>
            <w:r>
              <w:rPr>
                <w:b w:val="0"/>
                <w:sz w:val="19"/>
              </w:rPr>
              <w:t>Rejeu du scénario de démonstration (119 contrôles) puis recette transverse : RBAC, erreurs JSON, fichiers MTN/Moov octet par octet, idempotence, lots complémentaires, régularisations (154)</w:t>
            </w:r>
          </w:p>
        </w:tc>
        <w:tc>
          <w:tcPr>
            <w:tcW w:type="dxa" w:w="1587"/>
          </w:tcPr>
          <w:p>
            <w:r/>
            <w:r>
              <w:rPr>
                <w:b w:val="0"/>
                <w:sz w:val="19"/>
              </w:rPr>
              <w:t>273 contrôles (job CI)</w:t>
            </w:r>
          </w:p>
        </w:tc>
      </w:tr>
      <w:tr>
        <w:tc>
          <w:tcPr>
            <w:tcW w:type="dxa" w:w="1814"/>
          </w:tcPr>
          <w:p>
            <w:r/>
            <w:r>
              <w:rPr>
                <w:b w:val="0"/>
                <w:sz w:val="19"/>
              </w:rPr>
              <w:t>Fonctionnel UI</w:t>
            </w:r>
          </w:p>
        </w:tc>
        <w:tc>
          <w:tcPr>
            <w:tcW w:type="dxa" w:w="2381"/>
          </w:tcPr>
          <w:p>
            <w:r/>
            <w:r>
              <w:rPr>
                <w:b w:val="0"/>
                <w:sz w:val="19"/>
              </w:rPr>
              <w:t>Playwright (e2e/parcours-critique)</w:t>
            </w:r>
          </w:p>
        </w:tc>
        <w:tc>
          <w:tcPr>
            <w:tcW w:type="dxa" w:w="3742"/>
          </w:tcPr>
          <w:p>
            <w:r/>
            <w:r>
              <w:rPr>
                <w:b w:val="0"/>
                <w:sz w:val="19"/>
              </w:rPr>
              <w:t>Connexion → mission → fichier MTN → confirmation ; régularisation</w:t>
            </w:r>
          </w:p>
        </w:tc>
        <w:tc>
          <w:tcPr>
            <w:tcW w:type="dxa" w:w="1587"/>
          </w:tcPr>
          <w:p>
            <w:r/>
            <w:r>
              <w:rPr>
                <w:b w:val="0"/>
                <w:sz w:val="19"/>
              </w:rPr>
              <w:t>3 tests</w:t>
            </w:r>
          </w:p>
        </w:tc>
      </w:tr>
      <w:tr>
        <w:tc>
          <w:tcPr>
            <w:tcW w:type="dxa" w:w="1814"/>
          </w:tcPr>
          <w:p>
            <w:r/>
            <w:r>
              <w:rPr>
                <w:b w:val="0"/>
                <w:sz w:val="19"/>
              </w:rPr>
              <w:t>Statique</w:t>
            </w:r>
          </w:p>
        </w:tc>
        <w:tc>
          <w:tcPr>
            <w:tcW w:type="dxa" w:w="2381"/>
          </w:tcPr>
          <w:p>
            <w:r/>
            <w:r>
              <w:rPr>
                <w:b w:val="0"/>
                <w:sz w:val="19"/>
              </w:rPr>
              <w:t>Pint, vue-tsc, ESLint, oxlint</w:t>
            </w:r>
          </w:p>
        </w:tc>
        <w:tc>
          <w:tcPr>
            <w:tcW w:type="dxa" w:w="3742"/>
          </w:tcPr>
          <w:p>
            <w:r/>
            <w:r>
              <w:rPr>
                <w:b w:val="0"/>
                <w:sz w:val="19"/>
              </w:rPr>
              <w:t>Style et typage</w:t>
            </w:r>
          </w:p>
        </w:tc>
        <w:tc>
          <w:tcPr>
            <w:tcW w:type="dxa" w:w="1587"/>
          </w:tcPr>
          <w:p>
            <w:r/>
            <w:r>
              <w:rPr>
                <w:b w:val="0"/>
                <w:sz w:val="19"/>
              </w:rPr>
              <w:t>0 erreur</w:t>
            </w:r>
          </w:p>
        </w:tc>
      </w:tr>
    </w:tbl>
    <w:p/>
    <w:p>
      <w:pPr>
        <w:pStyle w:val="ListBullet"/>
      </w:pPr>
      <w:r>
        <w:t>Garde-fous croisés : RoutesPermissionsTest (aucune route API sans permission), OpenApiTest (openapi.yaml ↔ routes ↔ permissions), OpenApiReponsesTest (réponses réelles ↔ schémas d'openapi.yaml, mode strict), NotificationModelesEcranTest (utils/notifications.ts ↔ NotificationContenu, utilisé par les écrans e-mail et Paramètres), ReglagesExploitationTest (chaque réglage de Paramètres appliqué) et navigation.spec.ts (menu ↔ routes ↔ API cohérents).</w:t>
      </w:r>
    </w:p>
    <w:p>
      <w:pPr>
        <w:pStyle w:val="ListBullet"/>
      </w:pPr>
      <w:r>
        <w:t>Fuseau : FuseauHoraireTest (heure du Bénin, rapport du 1er du mois à 0 h 30, sérialisation UTC, migration aller-retour) ; migration éprouvée sur MariaDB avec les données de démonstration.</w:t>
      </w:r>
    </w:p>
    <w:p>
      <w:pPr>
        <w:pStyle w:val="ListBullet"/>
      </w:pPr>
      <w:r>
        <w:t>Recette sur l'API réelle (23/10/2026, base SQLite neuve, QUEUE_CONNECTION=sync) : 83/83 contrôles conformes ; scénario de démonstration (docs/SCENARIO-DEMO.md) rejoué, conforme, puis de nouveau le 27/10 en version 1.4 (mêmes fichiers et montants, notifications de chaque signataire). Le 25/10, réponses réelles de l'API confrontées aux schémas d'openapi.yaml (openapi-core) : conformes après le n° 32 ; vérification automatisée en CI depuis le 28/10 (OpenApiReponsesTest). Le 28/10, variantes messagerie et maintenance du scénario rejouées sur l'API réelle (MariaDB, base neuve) : elles ont révélé l'affichage du message générique des 422 à l'écran Messagerie, corrigé. Le 29/10, scénario complet rejoué de nouveau (MariaDB, base neuve, QUEUE_CONNECTION=sync) : état des avances 805 000, aperçus MTN 406 000 et Moov 399 000 ; refus vérifiés avec leur motif en français (agent en double, séparation des tâches, numéro manquant). Depuis le 29/10, ce rejeu et la recette transverse sont versionnés (scripts/recette/) et exécutés à chaque PR (job « Recette · API réelle », API servie par php artisan serve sur une base neuve).</w:t>
      </w:r>
    </w:p>
    <w:p>
      <w:pPr>
        <w:pStyle w:val="ListBullet"/>
      </w:pPr>
      <w:r>
        <w:t>Défauts relevés par la revue d'octobre 2026 : 32, puis 23 de plus du 27 au 29/10 (n° 33 à 55, en confrontant la documentation au code et à l'interface, puis en soldant la dette technique), tous corrigés avec un test vu en échec sans le correctif (index : CHANGELOG.md ; détail : docs/revue-projet-2026-10.md §3 et §8). Les quatre décisions du §7.1 sont appliquées depuis la 1.4.</w:t>
      </w:r>
    </w:p>
    <w:p>
      <w:pPr>
        <w:pStyle w:val="ListBullet"/>
      </w:pPr>
      <w:r>
        <w:t>phpunit.xml fournit une APP_KEY de test : la suite s'exécute sans .env. Playwright accepte PLAYWRIGHT_CHROMIUM_EXECUTABLE pour un Chromium déjà installé.</w:t>
      </w:r>
    </w:p>
    <w:p>
      <w:pPr>
        <w:pStyle w:val="ListBullet"/>
      </w:pPr>
      <w:r>
        <w:t>CI GitHub Actions (.github/workflows) : Lint, Pest (SQLite), Pest MySQL, Vitest + type-check, Playwright, Recette · API réelle, build dist.</w:t>
      </w:r>
    </w:p>
    <w:p>
      <w:r>
        <w:br w:type="page"/>
      </w:r>
    </w:p>
    <w:p>
      <w:pPr>
        <w:pStyle w:val="Heading1"/>
      </w:pPr>
      <w:r>
        <w:t>11. État du projet et reste à faire (29/10/2026)</w:t>
      </w:r>
    </w:p>
    <w:p>
      <w:r>
        <w:rPr>
          <w:b w:val="0"/>
          <w:i w:val="0"/>
        </w:rPr>
        <w:t>Le développement est terminé : 55 défauts relevés par la revue d'octobre 2026, la relecture des documents et la résorption de la dette (n° 1 à 55), tous corrigés avec un test ; quatre décisions (D1 à D4) appliquées ; dette technique soldée ; aucune décision en attente. Tous les documents sont confrontés au code (détail et cartographie : docs/revue-projet-2026-10.md §8).</w:t>
      </w:r>
    </w:p>
    <w:tbl>
      <w:tblPr>
        <w:tblStyle w:val="TableGrid"/>
        <w:tblW w:type="auto" w:w="0"/>
        <w:jc w:val="center"/>
        <w:tblLayout w:type="fixed"/>
        <w:tblLook w:firstColumn="1" w:firstRow="1" w:lastColumn="0" w:lastRow="0" w:noHBand="0" w:noVBand="1" w:val="04A0"/>
      </w:tblPr>
      <w:tblGrid>
        <w:gridCol w:w="2948"/>
        <w:gridCol w:w="6576"/>
      </w:tblGrid>
      <w:tr>
        <w:tc>
          <w:tcPr>
            <w:tcW w:type="dxa" w:w="2948"/>
            <w:shd w:val="clear" w:fill="1D9E4F"/>
          </w:tcPr>
          <w:p>
            <w:r/>
            <w:r>
              <w:rPr>
                <w:b/>
                <w:color w:val="FFFFFF"/>
                <w:sz w:val="20"/>
              </w:rPr>
              <w:t>Indicateur</w:t>
            </w:r>
          </w:p>
        </w:tc>
        <w:tc>
          <w:tcPr>
            <w:tcW w:type="dxa" w:w="6576"/>
            <w:shd w:val="clear" w:fill="1D9E4F"/>
          </w:tcPr>
          <w:p>
            <w:r/>
            <w:r>
              <w:rPr>
                <w:b/>
                <w:color w:val="FFFFFF"/>
                <w:sz w:val="20"/>
              </w:rPr>
              <w:t>Valeur au 29/10/2026</w:t>
            </w:r>
          </w:p>
        </w:tc>
      </w:tr>
      <w:tr>
        <w:tc>
          <w:tcPr>
            <w:tcW w:type="dxa" w:w="2948"/>
          </w:tcPr>
          <w:p>
            <w:r/>
            <w:r>
              <w:rPr>
                <w:b w:val="0"/>
                <w:sz w:val="19"/>
              </w:rPr>
              <w:t>Tests backend (Pest)</w:t>
            </w:r>
          </w:p>
        </w:tc>
        <w:tc>
          <w:tcPr>
            <w:tcW w:type="dxa" w:w="6576"/>
          </w:tcPr>
          <w:p>
            <w:r/>
            <w:r>
              <w:rPr>
                <w:b w:val="0"/>
                <w:sz w:val="19"/>
              </w:rPr>
              <w:t>702 tests, 79 fichiers — API complète sur SQLite (693), contrat OpenAPI vérifié ; sauvegarde, restauration et verrous sur MySQL réel (9)</w:t>
            </w:r>
          </w:p>
        </w:tc>
      </w:tr>
      <w:tr>
        <w:tc>
          <w:tcPr>
            <w:tcW w:type="dxa" w:w="2948"/>
          </w:tcPr>
          <w:p>
            <w:r/>
            <w:r>
              <w:rPr>
                <w:b w:val="0"/>
                <w:sz w:val="19"/>
              </w:rPr>
              <w:t>Tests frontend (Vitest)</w:t>
            </w:r>
          </w:p>
        </w:tc>
        <w:tc>
          <w:tcPr>
            <w:tcW w:type="dxa" w:w="6576"/>
          </w:tcPr>
          <w:p>
            <w:r/>
            <w:r>
              <w:rPr>
                <w:b w:val="0"/>
                <w:sz w:val="19"/>
              </w:rPr>
              <w:t>241 tests, 48 fichiers — vues, services, stores, navigation ↔ permissions</w:t>
            </w:r>
          </w:p>
        </w:tc>
      </w:tr>
      <w:tr>
        <w:tc>
          <w:tcPr>
            <w:tcW w:type="dxa" w:w="2948"/>
          </w:tcPr>
          <w:p>
            <w:r/>
            <w:r>
              <w:rPr>
                <w:b w:val="0"/>
                <w:sz w:val="19"/>
              </w:rPr>
              <w:t>Recette sur l'API réelle</w:t>
            </w:r>
          </w:p>
        </w:tc>
        <w:tc>
          <w:tcPr>
            <w:tcW w:type="dxa" w:w="6576"/>
          </w:tcPr>
          <w:p>
            <w:r/>
            <w:r>
              <w:rPr>
                <w:b w:val="0"/>
                <w:sz w:val="19"/>
              </w:rPr>
              <w:t>273 contrôles en CI (rejeu du scénario 119 + recette transverse 154)</w:t>
            </w:r>
          </w:p>
        </w:tc>
      </w:tr>
      <w:tr>
        <w:tc>
          <w:tcPr>
            <w:tcW w:type="dxa" w:w="2948"/>
          </w:tcPr>
          <w:p>
            <w:r/>
            <w:r>
              <w:rPr>
                <w:b w:val="0"/>
                <w:sz w:val="19"/>
              </w:rPr>
              <w:t>Tests de bout en bout (Playwright)</w:t>
            </w:r>
          </w:p>
        </w:tc>
        <w:tc>
          <w:tcPr>
            <w:tcW w:type="dxa" w:w="6576"/>
          </w:tcPr>
          <w:p>
            <w:r/>
            <w:r>
              <w:rPr>
                <w:b w:val="0"/>
                <w:sz w:val="19"/>
              </w:rPr>
              <w:t>3 parcours critiques</w:t>
            </w:r>
          </w:p>
        </w:tc>
      </w:tr>
      <w:tr>
        <w:tc>
          <w:tcPr>
            <w:tcW w:type="dxa" w:w="2948"/>
          </w:tcPr>
          <w:p>
            <w:r/>
            <w:r>
              <w:rPr>
                <w:b w:val="0"/>
                <w:sz w:val="19"/>
              </w:rPr>
              <w:t>Scénario de démonstration</w:t>
            </w:r>
          </w:p>
        </w:tc>
        <w:tc>
          <w:tcPr>
            <w:tcW w:type="dxa" w:w="6576"/>
          </w:tcPr>
          <w:p>
            <w:r/>
            <w:r>
              <w:rPr>
                <w:b w:val="0"/>
                <w:sz w:val="19"/>
              </w:rPr>
              <w:t>Rejoué automatiquement à chaque PR (scripts/recette/rejeu-scenario.cjs), montants et fichiers inchangés</w:t>
            </w:r>
          </w:p>
        </w:tc>
      </w:tr>
      <w:tr>
        <w:tc>
          <w:tcPr>
            <w:tcW w:type="dxa" w:w="2948"/>
          </w:tcPr>
          <w:p>
            <w:r/>
            <w:r>
              <w:rPr>
                <w:b w:val="0"/>
                <w:sz w:val="19"/>
              </w:rPr>
              <w:t>Galerie des écrans</w:t>
            </w:r>
          </w:p>
        </w:tc>
        <w:tc>
          <w:tcPr>
            <w:tcW w:type="dxa" w:w="6576"/>
          </w:tcPr>
          <w:p>
            <w:r/>
            <w:r>
              <w:rPr>
                <w:b w:val="0"/>
                <w:sz w:val="19"/>
              </w:rPr>
              <w:t>46 écrans recapturés le 29/10 ; 53 pages</w:t>
            </w:r>
          </w:p>
        </w:tc>
      </w:tr>
      <w:tr>
        <w:tc>
          <w:tcPr>
            <w:tcW w:type="dxa" w:w="2948"/>
          </w:tcPr>
          <w:p>
            <w:r/>
            <w:r>
              <w:rPr>
                <w:b w:val="0"/>
                <w:sz w:val="19"/>
              </w:rPr>
              <w:t>Migrations à jouer en 1.4</w:t>
            </w:r>
          </w:p>
        </w:tc>
        <w:tc>
          <w:tcPr>
            <w:tcW w:type="dxa" w:w="6576"/>
          </w:tcPr>
          <w:p>
            <w:r/>
            <w:r>
              <w:rPr>
                <w:b w:val="0"/>
                <w:sz w:val="19"/>
              </w:rPr>
              <w:t>Une seule (fuseau horaire), application en maintenance</w:t>
            </w:r>
          </w:p>
        </w:tc>
      </w:tr>
    </w:tbl>
    <w:p/>
    <w:p>
      <w:pPr>
        <w:pStyle w:val="Heading2"/>
      </w:pPr>
      <w:r>
        <w:t>11.1 Reste à faire — exploitation (instance en ligne)</w:t>
      </w:r>
    </w:p>
    <w:p>
      <w:pPr>
        <w:pStyle w:val="ListBullet"/>
      </w:pPr>
      <w:r>
        <w:t>Mettre à jour l'instance vers la 1.4 avec docs/runbook-mise-a-jour-cron.md (maintenance, une migration, vendor/ inchangé, SPA à redéployer ; resources/lang/fr/validation.php part avec resources/).</w:t>
      </w:r>
    </w:p>
    <w:p>
      <w:pPr>
        <w:pStyle w:val="ListBullet"/>
      </w:pPr>
      <w:r>
        <w:t>Relire storage/app/settings.json avant d'envoyer le code : ses réglages (HTTPS forcé, maintenance, serveur SMTP…) s'appliquent dès lors.</w:t>
      </w:r>
    </w:p>
    <w:p>
      <w:pPr>
        <w:pStyle w:val="ListBullet"/>
      </w:pPr>
      <w:r>
        <w:t>Contrôler avec docs/checklist-post-deploiement.md §06 (lecture seule en production, création de données en recette).</w:t>
      </w:r>
    </w:p>
    <w:p>
      <w:pPr>
        <w:pStyle w:val="ListBullet"/>
      </w:pPr>
      <w:r>
        <w:t>Vider le cache des PDF d'OM (storage/app/private/ordres/) et envoyer un e-mail de test depuis Messagerie.</w:t>
      </w:r>
    </w:p>
    <w:p>
      <w:pPr>
        <w:pStyle w:val="ListBullet"/>
      </w:pPr>
      <w:r>
        <w:t>Éprouver une fois la restauration sur la base MySQL de l'hébergement (mécanisme vérifié en CI sur MySQL 8).</w:t>
      </w:r>
    </w:p>
    <w:p>
      <w:pPr>
        <w:pStyle w:val="ListBullet"/>
      </w:pPr>
      <w:r>
        <w:t>Sauvegarder storage/ avec la base (réglages, paraphes et fichiers produits ne sont pas dans le dump).</w:t>
      </w:r>
    </w:p>
    <w:p>
      <w:pPr>
        <w:pStyle w:val="ListBullet"/>
      </w:pPr>
      <w:r>
        <w:t>Si la file passe en QUEUE_CONNECTION=database : tâche Cron queue:work nommant les trois files.</w:t>
      </w:r>
    </w:p>
    <w:p>
      <w:pPr>
        <w:pStyle w:val="Heading2"/>
      </w:pPr>
      <w:r>
        <w:t>11.2 Dette technique : soldée le 29/10/2026</w:t>
      </w:r>
    </w:p>
    <w:tbl>
      <w:tblPr>
        <w:tblStyle w:val="TableGrid"/>
        <w:tblW w:type="auto" w:w="0"/>
        <w:jc w:val="center"/>
        <w:tblLayout w:type="fixed"/>
        <w:tblLook w:firstColumn="1" w:firstRow="1" w:lastColumn="0" w:lastRow="0" w:noHBand="0" w:noVBand="1" w:val="04A0"/>
      </w:tblPr>
      <w:tblGrid>
        <w:gridCol w:w="3628"/>
        <w:gridCol w:w="5896"/>
      </w:tblGrid>
      <w:tr>
        <w:tc>
          <w:tcPr>
            <w:tcW w:type="dxa" w:w="3628"/>
            <w:shd w:val="clear" w:fill="1D9E4F"/>
          </w:tcPr>
          <w:p>
            <w:r/>
            <w:r>
              <w:rPr>
                <w:b/>
                <w:color w:val="FFFFFF"/>
                <w:sz w:val="20"/>
              </w:rPr>
              <w:t>Point relevé</w:t>
            </w:r>
          </w:p>
        </w:tc>
        <w:tc>
          <w:tcPr>
            <w:tcW w:type="dxa" w:w="5896"/>
            <w:shd w:val="clear" w:fill="1D9E4F"/>
          </w:tcPr>
          <w:p>
            <w:r/>
            <w:r>
              <w:rPr>
                <w:b/>
                <w:color w:val="FFFFFF"/>
                <w:sz w:val="20"/>
              </w:rPr>
              <w:t>Résolution</w:t>
            </w:r>
          </w:p>
        </w:tc>
      </w:tr>
      <w:tr>
        <w:tc>
          <w:tcPr>
            <w:tcW w:type="dxa" w:w="3628"/>
          </w:tcPr>
          <w:p>
            <w:r/>
            <w:r>
              <w:rPr>
                <w:b w:val="0"/>
                <w:sz w:val="19"/>
              </w:rPr>
              <w:t>Correctifs sans test automatisé (minuteurs, maintenance, garde de route, design system)</w:t>
            </w:r>
          </w:p>
        </w:tc>
        <w:tc>
          <w:tcPr>
            <w:tcW w:type="dxa" w:w="5896"/>
          </w:tcPr>
          <w:p>
            <w:r/>
            <w:r>
              <w:rPr>
                <w:b w:val="0"/>
                <w:sz w:val="19"/>
              </w:rPr>
              <w:t>20 tests Vitest vus en échec sans leur correctif ; défaut n° 52 (crochets d'AppNavProgress) corrigé</w:t>
            </w:r>
          </w:p>
        </w:tc>
      </w:tr>
      <w:tr>
        <w:tc>
          <w:tcPr>
            <w:tcW w:type="dxa" w:w="3628"/>
          </w:tcPr>
          <w:p>
            <w:r/>
            <w:r>
              <w:rPr>
                <w:b w:val="0"/>
                <w:sz w:val="19"/>
              </w:rPr>
              <w:t>Restauration, tri et lockForUpdate testés seulement sous SQLite</w:t>
            </w:r>
          </w:p>
        </w:tc>
        <w:tc>
          <w:tcPr>
            <w:tcW w:type="dxa" w:w="5896"/>
          </w:tcPr>
          <w:p>
            <w:r/>
            <w:r>
              <w:rPr>
                <w:b w:val="0"/>
                <w:sz w:val="19"/>
              </w:rPr>
              <w:t>Groupe Pest mysql et job « Backend · Pest MySQL » (MySQL 8) ; défaut n° 53 (sauvegardes de la même seconde) corrigé</w:t>
            </w:r>
          </w:p>
        </w:tc>
      </w:tr>
      <w:tr>
        <w:tc>
          <w:tcPr>
            <w:tcW w:type="dxa" w:w="3628"/>
          </w:tcPr>
          <w:p>
            <w:r/>
            <w:r>
              <w:rPr>
                <w:b w:val="0"/>
                <w:sz w:val="19"/>
              </w:rPr>
              <w:t>Scripts de recette non versionnés</w:t>
            </w:r>
          </w:p>
        </w:tc>
        <w:tc>
          <w:tcPr>
            <w:tcW w:type="dxa" w:w="5896"/>
          </w:tcPr>
          <w:p>
            <w:r/>
            <w:r>
              <w:rPr>
                <w:b w:val="0"/>
                <w:sz w:val="19"/>
              </w:rPr>
              <w:t>scripts/recette/ et job « Recette · API réelle » ; défauts n° 54 et 55 corrigés</w:t>
            </w:r>
          </w:p>
        </w:tc>
      </w:tr>
      <w:tr>
        <w:tc>
          <w:tcPr>
            <w:tcW w:type="dxa" w:w="3628"/>
          </w:tcPr>
          <w:p>
            <w:r/>
            <w:r>
              <w:rPr>
                <w:b w:val="0"/>
                <w:sz w:val="19"/>
              </w:rPr>
              <w:t>Trois écrans au message d'échec générique</w:t>
            </w:r>
          </w:p>
        </w:tc>
        <w:tc>
          <w:tcPr>
            <w:tcW w:type="dxa" w:w="5896"/>
          </w:tcPr>
          <w:p>
            <w:r/>
            <w:r>
              <w:rPr>
                <w:b w:val="0"/>
                <w:sz w:val="19"/>
              </w:rPr>
              <w:t>Motif du serveur, message de l'écran en repli (n° 50)</w:t>
            </w:r>
          </w:p>
        </w:tc>
      </w:tr>
      <w:tr>
        <w:tc>
          <w:tcPr>
            <w:tcW w:type="dxa" w:w="3628"/>
          </w:tcPr>
          <w:p>
            <w:r/>
            <w:r>
              <w:rPr>
                <w:b w:val="0"/>
                <w:sz w:val="19"/>
              </w:rPr>
              <w:t>Vue 3.6.0-beta.9</w:t>
            </w:r>
          </w:p>
        </w:tc>
        <w:tc>
          <w:tcPr>
            <w:tcW w:type="dxa" w:w="5896"/>
          </w:tcPr>
          <w:p>
            <w:r/>
            <w:r>
              <w:rPr>
                <w:b w:val="0"/>
                <w:sz w:val="19"/>
              </w:rPr>
              <w:t>Vue 3.5.44 stable, épinglée (la 3.6 stable n'est pas parue)</w:t>
            </w:r>
          </w:p>
        </w:tc>
      </w:tr>
    </w:tbl>
    <w:p/>
    <w:p>
      <w:pPr>
        <w:pStyle w:val="ListBullet"/>
      </w:pPr>
      <w:r>
        <w:t>Reste au choix du client : archiver les deux documents historiques (docs/deploiement-circuit-validation.md, docs/plan-validation-daf-dg.md). Passer à Vue 3.6 stable à sa sortie relève d'une évolution ordinaire.</w:t>
      </w:r>
    </w:p>
    <w:p>
      <w:r>
        <w:br w:type="page"/>
      </w:r>
    </w:p>
    <w:p>
      <w:pPr>
        <w:pStyle w:val="Heading1"/>
      </w:pPr>
      <w:r>
        <w:t>Annexe A — Barème officiel (FCFA / jour)</w:t>
      </w:r>
    </w:p>
    <w:p>
      <w:pPr>
        <w:pStyle w:val="Heading2"/>
      </w:pPr>
      <w:r>
        <w:t>Zone INTERIEUR</w:t>
      </w:r>
    </w:p>
    <w:tbl>
      <w:tblPr>
        <w:tblStyle w:val="TableGrid"/>
        <w:tblW w:type="auto" w:w="0"/>
        <w:jc w:val="center"/>
        <w:tblLayout w:type="fixed"/>
        <w:tblLook w:firstColumn="1" w:firstRow="1" w:lastColumn="0" w:lastRow="0" w:noHBand="0" w:noVBand="1" w:val="04A0"/>
      </w:tblPr>
      <w:tblGrid>
        <w:gridCol w:w="2381"/>
        <w:gridCol w:w="2381"/>
        <w:gridCol w:w="2381"/>
        <w:gridCol w:w="2381"/>
      </w:tblGrid>
      <w:tr>
        <w:tc>
          <w:tcPr>
            <w:tcW w:type="dxa" w:w="2381"/>
            <w:shd w:val="clear" w:fill="1D9E4F"/>
          </w:tcPr>
          <w:p>
            <w:r/>
            <w:r>
              <w:rPr>
                <w:b/>
                <w:color w:val="FFFFFF"/>
                <w:sz w:val="20"/>
              </w:rPr>
              <w:t>Catégorie</w:t>
            </w:r>
          </w:p>
        </w:tc>
        <w:tc>
          <w:tcPr>
            <w:tcW w:type="dxa" w:w="2381"/>
            <w:shd w:val="clear" w:fill="1D9E4F"/>
          </w:tcPr>
          <w:p>
            <w:r/>
            <w:r>
              <w:rPr>
                <w:b/>
                <w:color w:val="FFFFFF"/>
                <w:sz w:val="20"/>
              </w:rPr>
              <w:t>Un repas</w:t>
            </w:r>
          </w:p>
        </w:tc>
        <w:tc>
          <w:tcPr>
            <w:tcW w:type="dxa" w:w="2381"/>
            <w:shd w:val="clear" w:fill="1D9E4F"/>
          </w:tcPr>
          <w:p>
            <w:r/>
            <w:r>
              <w:rPr>
                <w:b/>
                <w:color w:val="FFFFFF"/>
                <w:sz w:val="20"/>
              </w:rPr>
              <w:t>Deux repas</w:t>
            </w:r>
          </w:p>
        </w:tc>
        <w:tc>
          <w:tcPr>
            <w:tcW w:type="dxa" w:w="2381"/>
            <w:shd w:val="clear" w:fill="1D9E4F"/>
          </w:tcPr>
          <w:p>
            <w:r/>
            <w:r>
              <w:rPr>
                <w:b/>
                <w:color w:val="FFFFFF"/>
                <w:sz w:val="20"/>
              </w:rPr>
              <w:t>Journée complète</w:t>
            </w:r>
          </w:p>
        </w:tc>
      </w:tr>
      <w:tr>
        <w:tc>
          <w:tcPr>
            <w:tcW w:type="dxa" w:w="2381"/>
          </w:tcPr>
          <w:p>
            <w:r/>
            <w:r>
              <w:rPr>
                <w:b w:val="0"/>
                <w:sz w:val="19"/>
              </w:rPr>
              <w:t>INDICE_SUP_800</w:t>
            </w:r>
          </w:p>
        </w:tc>
        <w:tc>
          <w:tcPr>
            <w:tcW w:type="dxa" w:w="2381"/>
          </w:tcPr>
          <w:p>
            <w:r/>
            <w:r>
              <w:rPr>
                <w:b w:val="0"/>
                <w:sz w:val="19"/>
              </w:rPr>
              <w:t>15 000</w:t>
            </w:r>
          </w:p>
        </w:tc>
        <w:tc>
          <w:tcPr>
            <w:tcW w:type="dxa" w:w="2381"/>
          </w:tcPr>
          <w:p>
            <w:r/>
            <w:r>
              <w:rPr>
                <w:b w:val="0"/>
                <w:sz w:val="19"/>
              </w:rPr>
              <w:t>30 000</w:t>
            </w:r>
          </w:p>
        </w:tc>
        <w:tc>
          <w:tcPr>
            <w:tcW w:type="dxa" w:w="2381"/>
          </w:tcPr>
          <w:p>
            <w:r/>
            <w:r>
              <w:rPr>
                <w:b w:val="0"/>
                <w:sz w:val="19"/>
              </w:rPr>
              <w:t>45 000</w:t>
            </w:r>
          </w:p>
        </w:tc>
      </w:tr>
      <w:tr>
        <w:tc>
          <w:tcPr>
            <w:tcW w:type="dxa" w:w="2381"/>
          </w:tcPr>
          <w:p>
            <w:r/>
            <w:r>
              <w:rPr>
                <w:b w:val="0"/>
                <w:sz w:val="19"/>
              </w:rPr>
              <w:t>INDICE_400_799</w:t>
            </w:r>
          </w:p>
        </w:tc>
        <w:tc>
          <w:tcPr>
            <w:tcW w:type="dxa" w:w="2381"/>
          </w:tcPr>
          <w:p>
            <w:r/>
            <w:r>
              <w:rPr>
                <w:b w:val="0"/>
                <w:sz w:val="19"/>
              </w:rPr>
              <w:t>10 000</w:t>
            </w:r>
          </w:p>
        </w:tc>
        <w:tc>
          <w:tcPr>
            <w:tcW w:type="dxa" w:w="2381"/>
          </w:tcPr>
          <w:p>
            <w:r/>
            <w:r>
              <w:rPr>
                <w:b w:val="0"/>
                <w:sz w:val="19"/>
              </w:rPr>
              <w:t>20 000</w:t>
            </w:r>
          </w:p>
        </w:tc>
        <w:tc>
          <w:tcPr>
            <w:tcW w:type="dxa" w:w="2381"/>
          </w:tcPr>
          <w:p>
            <w:r/>
            <w:r>
              <w:rPr>
                <w:b w:val="0"/>
                <w:sz w:val="19"/>
              </w:rPr>
              <w:t>35 000</w:t>
            </w:r>
          </w:p>
        </w:tc>
      </w:tr>
      <w:tr>
        <w:tc>
          <w:tcPr>
            <w:tcW w:type="dxa" w:w="2381"/>
          </w:tcPr>
          <w:p>
            <w:r/>
            <w:r>
              <w:rPr>
                <w:b w:val="0"/>
                <w:sz w:val="19"/>
              </w:rPr>
              <w:t>INDICE_INF_400</w:t>
            </w:r>
          </w:p>
        </w:tc>
        <w:tc>
          <w:tcPr>
            <w:tcW w:type="dxa" w:w="2381"/>
          </w:tcPr>
          <w:p>
            <w:r/>
            <w:r>
              <w:rPr>
                <w:b w:val="0"/>
                <w:sz w:val="19"/>
              </w:rPr>
              <w:t>8 500</w:t>
            </w:r>
          </w:p>
        </w:tc>
        <w:tc>
          <w:tcPr>
            <w:tcW w:type="dxa" w:w="2381"/>
          </w:tcPr>
          <w:p>
            <w:r/>
            <w:r>
              <w:rPr>
                <w:b w:val="0"/>
                <w:sz w:val="19"/>
              </w:rPr>
              <w:t>15 000</w:t>
            </w:r>
          </w:p>
        </w:tc>
        <w:tc>
          <w:tcPr>
            <w:tcW w:type="dxa" w:w="2381"/>
          </w:tcPr>
          <w:p>
            <w:r/>
            <w:r>
              <w:rPr>
                <w:b w:val="0"/>
                <w:sz w:val="19"/>
              </w:rPr>
              <w:t>30 000</w:t>
            </w:r>
          </w:p>
        </w:tc>
      </w:tr>
    </w:tbl>
    <w:p/>
    <w:p>
      <w:pPr>
        <w:pStyle w:val="Heading2"/>
      </w:pPr>
      <w:r>
        <w:t>Zone EXT_ZONE_I</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175 000</w:t>
            </w:r>
          </w:p>
        </w:tc>
        <w:tc>
          <w:tcPr>
            <w:tcW w:type="dxa" w:w="1871"/>
          </w:tcPr>
          <w:p>
            <w:r/>
            <w:r>
              <w:rPr>
                <w:b w:val="0"/>
                <w:sz w:val="19"/>
              </w:rPr>
              <w:t>60 000</w:t>
            </w:r>
          </w:p>
        </w:tc>
        <w:tc>
          <w:tcPr>
            <w:tcW w:type="dxa" w:w="1871"/>
          </w:tcPr>
          <w:p>
            <w:r/>
            <w:r>
              <w:rPr>
                <w:b w:val="0"/>
                <w:sz w:val="19"/>
              </w:rPr>
              <w:t>90 000</w:t>
            </w:r>
          </w:p>
        </w:tc>
        <w:tc>
          <w:tcPr>
            <w:tcW w:type="dxa" w:w="1871"/>
          </w:tcPr>
          <w:p>
            <w:r/>
            <w:r>
              <w:rPr>
                <w:b w:val="0"/>
                <w:sz w:val="19"/>
              </w:rPr>
              <w:t>120 000</w:t>
            </w:r>
          </w:p>
        </w:tc>
      </w:tr>
      <w:tr>
        <w:tc>
          <w:tcPr>
            <w:tcW w:type="dxa" w:w="1871"/>
          </w:tcPr>
          <w:p>
            <w:r/>
            <w:r>
              <w:rPr>
                <w:b w:val="0"/>
                <w:sz w:val="19"/>
              </w:rPr>
              <w:t>INDICE_400_799</w:t>
            </w:r>
          </w:p>
        </w:tc>
        <w:tc>
          <w:tcPr>
            <w:tcW w:type="dxa" w:w="1984"/>
          </w:tcPr>
          <w:p>
            <w:r/>
            <w:r>
              <w:rPr>
                <w:b w:val="0"/>
                <w:sz w:val="19"/>
              </w:rPr>
              <w:t>140 000</w:t>
            </w:r>
          </w:p>
        </w:tc>
        <w:tc>
          <w:tcPr>
            <w:tcW w:type="dxa" w:w="1871"/>
          </w:tcPr>
          <w:p>
            <w:r/>
            <w:r>
              <w:rPr>
                <w:b w:val="0"/>
                <w:sz w:val="19"/>
              </w:rPr>
              <w:t>50 000</w:t>
            </w:r>
          </w:p>
        </w:tc>
        <w:tc>
          <w:tcPr>
            <w:tcW w:type="dxa" w:w="1871"/>
          </w:tcPr>
          <w:p>
            <w:r/>
            <w:r>
              <w:rPr>
                <w:b w:val="0"/>
                <w:sz w:val="19"/>
              </w:rPr>
              <w:t>70 000</w:t>
            </w:r>
          </w:p>
        </w:tc>
        <w:tc>
          <w:tcPr>
            <w:tcW w:type="dxa" w:w="1871"/>
          </w:tcPr>
          <w:p>
            <w:r/>
            <w:r>
              <w:rPr>
                <w:b w:val="0"/>
                <w:sz w:val="19"/>
              </w:rPr>
              <w:t>95 000</w:t>
            </w:r>
          </w:p>
        </w:tc>
      </w:tr>
      <w:tr>
        <w:tc>
          <w:tcPr>
            <w:tcW w:type="dxa" w:w="1871"/>
          </w:tcPr>
          <w:p>
            <w:r/>
            <w:r>
              <w:rPr>
                <w:b w:val="0"/>
                <w:sz w:val="19"/>
              </w:rPr>
              <w:t>INDICE_INF_400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bl>
    <w:p/>
    <w:p>
      <w:pPr>
        <w:pStyle w:val="Heading2"/>
      </w:pPr>
      <w:r>
        <w:t>Zones EXT_ZONE_II et EXT_ZONE_III (taux identiques, synchronisés à l'édition)</w:t>
      </w:r>
    </w:p>
    <w:tbl>
      <w:tblPr>
        <w:tblStyle w:val="TableGrid"/>
        <w:tblW w:type="auto" w:w="0"/>
        <w:jc w:val="center"/>
        <w:tblLayout w:type="fixed"/>
        <w:tblLook w:firstColumn="1" w:firstRow="1" w:lastColumn="0" w:lastRow="0" w:noHBand="0" w:noVBand="1" w:val="04A0"/>
      </w:tblPr>
      <w:tblGrid>
        <w:gridCol w:w="1871"/>
        <w:gridCol w:w="1984"/>
        <w:gridCol w:w="1871"/>
        <w:gridCol w:w="1871"/>
        <w:gridCol w:w="1871"/>
      </w:tblGrid>
      <w:tr>
        <w:tc>
          <w:tcPr>
            <w:tcW w:type="dxa" w:w="1871"/>
            <w:shd w:val="clear" w:fill="1D9E4F"/>
          </w:tcPr>
          <w:p>
            <w:r/>
            <w:r>
              <w:rPr>
                <w:b/>
                <w:color w:val="FFFFFF"/>
                <w:sz w:val="20"/>
              </w:rPr>
              <w:t>Catégorie</w:t>
            </w:r>
          </w:p>
        </w:tc>
        <w:tc>
          <w:tcPr>
            <w:tcW w:type="dxa" w:w="1984"/>
            <w:shd w:val="clear" w:fill="1D9E4F"/>
          </w:tcPr>
          <w:p>
            <w:r/>
            <w:r>
              <w:rPr>
                <w:b/>
                <w:color w:val="FFFFFF"/>
                <w:sz w:val="20"/>
              </w:rPr>
              <w:t>Journée complète</w:t>
            </w:r>
          </w:p>
        </w:tc>
        <w:tc>
          <w:tcPr>
            <w:tcW w:type="dxa" w:w="1871"/>
            <w:shd w:val="clear" w:fill="1D9E4F"/>
          </w:tcPr>
          <w:p>
            <w:r/>
            <w:r>
              <w:rPr>
                <w:b/>
                <w:color w:val="FFFFFF"/>
                <w:sz w:val="20"/>
              </w:rPr>
              <w:t>Logé+nourri</w:t>
            </w:r>
          </w:p>
        </w:tc>
        <w:tc>
          <w:tcPr>
            <w:tcW w:type="dxa" w:w="1871"/>
            <w:shd w:val="clear" w:fill="1D9E4F"/>
          </w:tcPr>
          <w:p>
            <w:r/>
            <w:r>
              <w:rPr>
                <w:b/>
                <w:color w:val="FFFFFF"/>
                <w:sz w:val="20"/>
              </w:rPr>
              <w:t>Logé seul</w:t>
            </w:r>
          </w:p>
        </w:tc>
        <w:tc>
          <w:tcPr>
            <w:tcW w:type="dxa" w:w="1871"/>
            <w:shd w:val="clear" w:fill="1D9E4F"/>
          </w:tcPr>
          <w:p>
            <w:r/>
            <w:r>
              <w:rPr>
                <w:b/>
                <w:color w:val="FFFFFF"/>
                <w:sz w:val="20"/>
              </w:rPr>
              <w:t>Nourri seul</w:t>
            </w:r>
          </w:p>
        </w:tc>
      </w:tr>
      <w:tr>
        <w:tc>
          <w:tcPr>
            <w:tcW w:type="dxa" w:w="1871"/>
          </w:tcPr>
          <w:p>
            <w:r/>
            <w:r>
              <w:rPr>
                <w:b w:val="0"/>
                <w:sz w:val="19"/>
              </w:rPr>
              <w:t>INDICE_SUP_800</w:t>
            </w:r>
          </w:p>
        </w:tc>
        <w:tc>
          <w:tcPr>
            <w:tcW w:type="dxa" w:w="1984"/>
          </w:tcPr>
          <w:p>
            <w:r/>
            <w:r>
              <w:rPr>
                <w:b w:val="0"/>
                <w:sz w:val="19"/>
              </w:rPr>
              <w:t>105 000</w:t>
            </w:r>
          </w:p>
        </w:tc>
        <w:tc>
          <w:tcPr>
            <w:tcW w:type="dxa" w:w="1871"/>
          </w:tcPr>
          <w:p>
            <w:r/>
            <w:r>
              <w:rPr>
                <w:b w:val="0"/>
                <w:sz w:val="19"/>
              </w:rPr>
              <w:t>35 000</w:t>
            </w:r>
          </w:p>
        </w:tc>
        <w:tc>
          <w:tcPr>
            <w:tcW w:type="dxa" w:w="1871"/>
          </w:tcPr>
          <w:p>
            <w:r/>
            <w:r>
              <w:rPr>
                <w:b w:val="0"/>
                <w:sz w:val="19"/>
              </w:rPr>
              <w:t>55 000</w:t>
            </w:r>
          </w:p>
        </w:tc>
        <w:tc>
          <w:tcPr>
            <w:tcW w:type="dxa" w:w="1871"/>
          </w:tcPr>
          <w:p>
            <w:r/>
            <w:r>
              <w:rPr>
                <w:b w:val="0"/>
                <w:sz w:val="19"/>
              </w:rPr>
              <w:t>70 000</w:t>
            </w:r>
          </w:p>
        </w:tc>
      </w:tr>
      <w:tr>
        <w:tc>
          <w:tcPr>
            <w:tcW w:type="dxa" w:w="1871"/>
          </w:tcPr>
          <w:p>
            <w:r/>
            <w:r>
              <w:rPr>
                <w:b w:val="0"/>
                <w:sz w:val="19"/>
              </w:rPr>
              <w:t>INDICE_400_799</w:t>
            </w:r>
          </w:p>
        </w:tc>
        <w:tc>
          <w:tcPr>
            <w:tcW w:type="dxa" w:w="1984"/>
          </w:tcPr>
          <w:p>
            <w:r/>
            <w:r>
              <w:rPr>
                <w:b w:val="0"/>
                <w:sz w:val="19"/>
              </w:rPr>
              <w:t>85 000</w:t>
            </w:r>
          </w:p>
        </w:tc>
        <w:tc>
          <w:tcPr>
            <w:tcW w:type="dxa" w:w="1871"/>
          </w:tcPr>
          <w:p>
            <w:r/>
            <w:r>
              <w:rPr>
                <w:b w:val="0"/>
                <w:sz w:val="19"/>
              </w:rPr>
              <w:t>30 000</w:t>
            </w:r>
          </w:p>
        </w:tc>
        <w:tc>
          <w:tcPr>
            <w:tcW w:type="dxa" w:w="1871"/>
          </w:tcPr>
          <w:p>
            <w:r/>
            <w:r>
              <w:rPr>
                <w:b w:val="0"/>
                <w:sz w:val="19"/>
              </w:rPr>
              <w:t>45 000</w:t>
            </w:r>
          </w:p>
        </w:tc>
        <w:tc>
          <w:tcPr>
            <w:tcW w:type="dxa" w:w="1871"/>
          </w:tcPr>
          <w:p>
            <w:r/>
            <w:r>
              <w:rPr>
                <w:b w:val="0"/>
                <w:sz w:val="19"/>
              </w:rPr>
              <w:t>60 000</w:t>
            </w:r>
          </w:p>
        </w:tc>
      </w:tr>
      <w:tr>
        <w:tc>
          <w:tcPr>
            <w:tcW w:type="dxa" w:w="1871"/>
          </w:tcPr>
          <w:p>
            <w:r/>
            <w:r>
              <w:rPr>
                <w:b w:val="0"/>
                <w:sz w:val="19"/>
              </w:rPr>
              <w:t>INDICE_INF_400</w:t>
            </w:r>
          </w:p>
        </w:tc>
        <w:tc>
          <w:tcPr>
            <w:tcW w:type="dxa" w:w="1984"/>
          </w:tcPr>
          <w:p>
            <w:r/>
            <w:r>
              <w:rPr>
                <w:b w:val="0"/>
                <w:sz w:val="19"/>
              </w:rPr>
              <w:t>65 000</w:t>
            </w:r>
          </w:p>
        </w:tc>
        <w:tc>
          <w:tcPr>
            <w:tcW w:type="dxa" w:w="1871"/>
          </w:tcPr>
          <w:p>
            <w:r/>
            <w:r>
              <w:rPr>
                <w:b w:val="0"/>
                <w:sz w:val="19"/>
              </w:rPr>
              <w:t>25 000</w:t>
            </w:r>
          </w:p>
        </w:tc>
        <w:tc>
          <w:tcPr>
            <w:tcW w:type="dxa" w:w="1871"/>
          </w:tcPr>
          <w:p>
            <w:r/>
            <w:r>
              <w:rPr>
                <w:b w:val="0"/>
                <w:sz w:val="19"/>
              </w:rPr>
              <w:t>35 000</w:t>
            </w:r>
          </w:p>
        </w:tc>
        <w:tc>
          <w:tcPr>
            <w:tcW w:type="dxa" w:w="1871"/>
          </w:tcPr>
          <w:p>
            <w:r/>
            <w:r>
              <w:rPr>
                <w:b w:val="0"/>
                <w:sz w:val="19"/>
              </w:rPr>
              <w:t>45 000</w:t>
            </w:r>
          </w:p>
        </w:tc>
      </w:tr>
    </w:tbl>
    <w:p/>
    <w:p>
      <w:r>
        <w:rPr>
          <w:b w:val="0"/>
          <w:i/>
          <w:color w:val="4B5563"/>
        </w:rPr>
        <w:t>Note : barème par défaut, ajustable par l'ADMIN dans le module Barème.</w:t>
      </w:r>
    </w:p>
    <w:p>
      <w:r>
        <w:br w:type="page"/>
      </w:r>
    </w:p>
    <w:p>
      <w:pPr>
        <w:pStyle w:val="Heading1"/>
      </w:pPr>
      <w:r>
        <w:t>Annexe B — Glossaire</w:t>
      </w:r>
    </w:p>
    <w:tbl>
      <w:tblPr>
        <w:tblStyle w:val="TableGrid"/>
        <w:tblW w:type="auto" w:w="0"/>
        <w:jc w:val="center"/>
        <w:tblLayout w:type="fixed"/>
        <w:tblLook w:firstColumn="1" w:firstRow="1" w:lastColumn="0" w:lastRow="0" w:noHBand="0" w:noVBand="1" w:val="04A0"/>
      </w:tblPr>
      <w:tblGrid>
        <w:gridCol w:w="2381"/>
        <w:gridCol w:w="7143"/>
      </w:tblGrid>
      <w:tr>
        <w:tc>
          <w:tcPr>
            <w:tcW w:type="dxa" w:w="2381"/>
            <w:shd w:val="clear" w:fill="1D9E4F"/>
          </w:tcPr>
          <w:p>
            <w:r/>
            <w:r>
              <w:rPr>
                <w:b/>
                <w:color w:val="FFFFFF"/>
                <w:sz w:val="20"/>
              </w:rPr>
              <w:t>Terme</w:t>
            </w:r>
          </w:p>
        </w:tc>
        <w:tc>
          <w:tcPr>
            <w:tcW w:type="dxa" w:w="7143"/>
            <w:shd w:val="clear" w:fill="1D9E4F"/>
          </w:tcPr>
          <w:p>
            <w:r/>
            <w:r>
              <w:rPr>
                <w:b/>
                <w:color w:val="FFFFFF"/>
                <w:sz w:val="20"/>
              </w:rPr>
              <w:t>Définition</w:t>
            </w:r>
          </w:p>
        </w:tc>
      </w:tr>
      <w:tr>
        <w:tc>
          <w:tcPr>
            <w:tcW w:type="dxa" w:w="2381"/>
          </w:tcPr>
          <w:p>
            <w:r/>
            <w:r>
              <w:rPr>
                <w:b w:val="0"/>
                <w:sz w:val="19"/>
              </w:rPr>
              <w:t>ANaTT</w:t>
            </w:r>
          </w:p>
        </w:tc>
        <w:tc>
          <w:tcPr>
            <w:tcW w:type="dxa" w:w="7143"/>
          </w:tcPr>
          <w:p>
            <w:r/>
            <w:r>
              <w:rPr>
                <w:b w:val="0"/>
                <w:sz w:val="19"/>
              </w:rPr>
              <w:t>Agence Nationale des Transports Terrestres — République du Bénin.</w:t>
            </w:r>
          </w:p>
        </w:tc>
      </w:tr>
      <w:tr>
        <w:tc>
          <w:tcPr>
            <w:tcW w:type="dxa" w:w="2381"/>
          </w:tcPr>
          <w:p>
            <w:r/>
            <w:r>
              <w:rPr>
                <w:b w:val="0"/>
                <w:sz w:val="19"/>
              </w:rPr>
              <w:t>SEMO</w:t>
            </w:r>
          </w:p>
        </w:tc>
        <w:tc>
          <w:tcPr>
            <w:tcW w:type="dxa" w:w="7143"/>
          </w:tcPr>
          <w:p>
            <w:r/>
            <w:r>
              <w:rPr>
                <w:b w:val="0"/>
                <w:sz w:val="19"/>
              </w:rPr>
              <w:t>Service émetteur des ordres de mission (hors application).</w:t>
            </w:r>
          </w:p>
        </w:tc>
      </w:tr>
      <w:tr>
        <w:tc>
          <w:tcPr>
            <w:tcW w:type="dxa" w:w="2381"/>
          </w:tcPr>
          <w:p>
            <w:r/>
            <w:r>
              <w:rPr>
                <w:b w:val="0"/>
                <w:sz w:val="19"/>
              </w:rPr>
              <w:t>OM</w:t>
            </w:r>
          </w:p>
        </w:tc>
        <w:tc>
          <w:tcPr>
            <w:tcW w:type="dxa" w:w="7143"/>
          </w:tcPr>
          <w:p>
            <w:r/>
            <w:r>
              <w:rPr>
                <w:b w:val="0"/>
                <w:sz w:val="19"/>
              </w:rPr>
              <w:t>Ordre de mission : 1 enregistrement = 1 bénéficiaire (réf. SEMO unique).</w:t>
            </w:r>
          </w:p>
        </w:tc>
      </w:tr>
      <w:tr>
        <w:tc>
          <w:tcPr>
            <w:tcW w:type="dxa" w:w="2381"/>
          </w:tcPr>
          <w:p>
            <w:r/>
            <w:r>
              <w:rPr>
                <w:b w:val="0"/>
                <w:sz w:val="19"/>
              </w:rPr>
              <w:t>Mission</w:t>
            </w:r>
          </w:p>
        </w:tc>
        <w:tc>
          <w:tcPr>
            <w:tcW w:type="dxa" w:w="7143"/>
          </w:tcPr>
          <w:p>
            <w:r/>
            <w:r>
              <w:rPr>
                <w:b w:val="0"/>
                <w:sz w:val="19"/>
              </w:rPr>
              <w:t>Événement regroupant N ordres de mission.</w:t>
            </w:r>
          </w:p>
        </w:tc>
      </w:tr>
      <w:tr>
        <w:tc>
          <w:tcPr>
            <w:tcW w:type="dxa" w:w="2381"/>
          </w:tcPr>
          <w:p>
            <w:r/>
            <w:r>
              <w:rPr>
                <w:b w:val="0"/>
                <w:sz w:val="19"/>
              </w:rPr>
              <w:t>CAV</w:t>
            </w:r>
          </w:p>
        </w:tc>
        <w:tc>
          <w:tcPr>
            <w:tcW w:type="dxa" w:w="7143"/>
          </w:tcPr>
          <w:p>
            <w:r/>
            <w:r>
              <w:rPr>
                <w:b w:val="0"/>
                <w:sz w:val="19"/>
              </w:rPr>
              <w:t>Conducteur de véhicule administratif, payé selon sa propre catégorie.</w:t>
            </w:r>
          </w:p>
        </w:tc>
      </w:tr>
      <w:tr>
        <w:tc>
          <w:tcPr>
            <w:tcW w:type="dxa" w:w="2381"/>
          </w:tcPr>
          <w:p>
            <w:r/>
            <w:r>
              <w:rPr>
                <w:b w:val="0"/>
                <w:sz w:val="19"/>
              </w:rPr>
              <w:t>Per diem</w:t>
            </w:r>
          </w:p>
        </w:tc>
        <w:tc>
          <w:tcPr>
            <w:tcW w:type="dxa" w:w="7143"/>
          </w:tcPr>
          <w:p>
            <w:r/>
            <w:r>
              <w:rPr>
                <w:b w:val="0"/>
                <w:sz w:val="19"/>
              </w:rPr>
              <w:t>Indemnité journalière de mission (taux × nb jours).</w:t>
            </w:r>
          </w:p>
        </w:tc>
      </w:tr>
      <w:tr>
        <w:tc>
          <w:tcPr>
            <w:tcW w:type="dxa" w:w="2381"/>
          </w:tcPr>
          <w:p>
            <w:r/>
            <w:r>
              <w:rPr>
                <w:b w:val="0"/>
                <w:sz w:val="19"/>
              </w:rPr>
              <w:t>Avance / Reliquat</w:t>
            </w:r>
          </w:p>
        </w:tc>
        <w:tc>
          <w:tcPr>
            <w:tcW w:type="dxa" w:w="7143"/>
          </w:tcPr>
          <w:p>
            <w:r/>
            <w:r>
              <w:rPr>
                <w:b w:val="0"/>
                <w:sz w:val="19"/>
              </w:rPr>
              <w:t>Tranches du per diem : 70 % puis le reste par défaut (part paramétrable).</w:t>
            </w:r>
          </w:p>
        </w:tc>
      </w:tr>
      <w:tr>
        <w:tc>
          <w:tcPr>
            <w:tcW w:type="dxa" w:w="2381"/>
          </w:tcPr>
          <w:p>
            <w:r/>
            <w:r>
              <w:rPr>
                <w:b w:val="0"/>
                <w:sz w:val="19"/>
              </w:rPr>
              <w:t>État de paiement</w:t>
            </w:r>
          </w:p>
        </w:tc>
        <w:tc>
          <w:tcPr>
            <w:tcW w:type="dxa" w:w="7143"/>
          </w:tcPr>
          <w:p>
            <w:r/>
            <w:r>
              <w:rPr>
                <w:b w:val="0"/>
                <w:sz w:val="19"/>
              </w:rPr>
              <w:t>Document récapitulatif d'une TRANCHE de mission (avances, puis reliquats) portant le circuit et les signatures.</w:t>
            </w:r>
          </w:p>
        </w:tc>
      </w:tr>
      <w:tr>
        <w:tc>
          <w:tcPr>
            <w:tcW w:type="dxa" w:w="2381"/>
          </w:tcPr>
          <w:p>
            <w:r/>
            <w:r>
              <w:rPr>
                <w:b w:val="0"/>
                <w:sz w:val="19"/>
              </w:rPr>
              <w:t>Amendement (avenant)</w:t>
            </w:r>
          </w:p>
        </w:tc>
        <w:tc>
          <w:tcPr>
            <w:tcW w:type="dxa" w:w="7143"/>
          </w:tcPr>
          <w:p>
            <w:r/>
            <w:r>
              <w:rPr>
                <w:b w:val="0"/>
                <w:sz w:val="19"/>
              </w:rPr>
              <w:t>Ajustement des jours facturés d'un OM après paiement de l'avance ; seul le reliquat bouge.</w:t>
            </w:r>
          </w:p>
        </w:tc>
      </w:tr>
      <w:tr>
        <w:tc>
          <w:tcPr>
            <w:tcW w:type="dxa" w:w="2381"/>
          </w:tcPr>
          <w:p>
            <w:r/>
            <w:r>
              <w:rPr>
                <w:b w:val="0"/>
                <w:sz w:val="19"/>
              </w:rPr>
              <w:t>Trop-perçu</w:t>
            </w:r>
          </w:p>
        </w:tc>
        <w:tc>
          <w:tcPr>
            <w:tcW w:type="dxa" w:w="7143"/>
          </w:tcPr>
          <w:p>
            <w:r/>
            <w:r>
              <w:rPr>
                <w:b w:val="0"/>
                <w:sz w:val="19"/>
              </w:rPr>
              <w:t>Reliquat négatif après amendement ; récupéré par retenue sur salaire (A_RECOUVRER → RECOUVRE).</w:t>
            </w:r>
          </w:p>
        </w:tc>
      </w:tr>
      <w:tr>
        <w:tc>
          <w:tcPr>
            <w:tcW w:type="dxa" w:w="2381"/>
          </w:tcPr>
          <w:p>
            <w:r/>
            <w:r>
              <w:rPr>
                <w:b w:val="0"/>
                <w:sz w:val="19"/>
              </w:rPr>
              <w:t>DAF</w:t>
            </w:r>
          </w:p>
        </w:tc>
        <w:tc>
          <w:tcPr>
            <w:tcW w:type="dxa" w:w="7143"/>
          </w:tcPr>
          <w:p>
            <w:r/>
            <w:r>
              <w:rPr>
                <w:b w:val="0"/>
                <w:sz w:val="19"/>
              </w:rPr>
              <w:t>Directeur de l'Administration et des Finances : 2e signature (visa « Vu »).</w:t>
            </w:r>
          </w:p>
        </w:tc>
      </w:tr>
      <w:tr>
        <w:tc>
          <w:tcPr>
            <w:tcW w:type="dxa" w:w="2381"/>
          </w:tcPr>
          <w:p>
            <w:r/>
            <w:r>
              <w:rPr>
                <w:b w:val="0"/>
                <w:sz w:val="19"/>
              </w:rPr>
              <w:t>DG</w:t>
            </w:r>
          </w:p>
        </w:tc>
        <w:tc>
          <w:tcPr>
            <w:tcW w:type="dxa" w:w="7143"/>
          </w:tcPr>
          <w:p>
            <w:r/>
            <w:r>
              <w:rPr>
                <w:b w:val="0"/>
                <w:sz w:val="19"/>
              </w:rPr>
              <w:t>Directeur Général : 3e et dernière signature ; sa validation ouvre le paiement.</w:t>
            </w:r>
          </w:p>
        </w:tc>
      </w:tr>
      <w:tr>
        <w:tc>
          <w:tcPr>
            <w:tcW w:type="dxa" w:w="2381"/>
          </w:tcPr>
          <w:p>
            <w:r/>
            <w:r>
              <w:rPr>
                <w:b w:val="0"/>
                <w:sz w:val="19"/>
              </w:rPr>
              <w:t>Versement</w:t>
            </w:r>
          </w:p>
        </w:tc>
        <w:tc>
          <w:tcPr>
            <w:tcW w:type="dxa" w:w="7143"/>
          </w:tcPr>
          <w:p>
            <w:r/>
            <w:r>
              <w:rPr>
                <w:b w:val="0"/>
                <w:sz w:val="19"/>
              </w:rPr>
              <w:t>Une tranche (AVANCE/RELIQUAT) d'un OM pour un opérateur.</w:t>
            </w:r>
          </w:p>
        </w:tc>
      </w:tr>
      <w:tr>
        <w:tc>
          <w:tcPr>
            <w:tcW w:type="dxa" w:w="2381"/>
          </w:tcPr>
          <w:p>
            <w:r/>
            <w:r>
              <w:rPr>
                <w:b w:val="0"/>
                <w:sz w:val="19"/>
              </w:rPr>
              <w:t>Lot de paiement</w:t>
            </w:r>
          </w:p>
        </w:tc>
        <w:tc>
          <w:tcPr>
            <w:tcW w:type="dxa" w:w="7143"/>
          </w:tcPr>
          <w:p>
            <w:r/>
            <w:r>
              <w:rPr>
                <w:b w:val="0"/>
                <w:sz w:val="19"/>
              </w:rPr>
              <w:t>1 mission × 1 tranche × 1 opérateur = 1 fichier généré.</w:t>
            </w:r>
          </w:p>
        </w:tc>
      </w:tr>
      <w:tr>
        <w:tc>
          <w:tcPr>
            <w:tcW w:type="dxa" w:w="2381"/>
          </w:tcPr>
          <w:p>
            <w:r/>
            <w:r>
              <w:rPr>
                <w:b w:val="0"/>
                <w:sz w:val="19"/>
              </w:rPr>
              <w:t>Lot complémentaire</w:t>
            </w:r>
          </w:p>
        </w:tc>
        <w:tc>
          <w:tcPr>
            <w:tcW w:type="dxa" w:w="7143"/>
          </w:tcPr>
          <w:p>
            <w:r/>
            <w:r>
              <w:rPr>
                <w:b w:val="0"/>
                <w:sz w:val="19"/>
              </w:rPr>
              <w:t>Lot de séquence ≥ 2, pour les versements devenus payables après la confirmation d'un lot.</w:t>
            </w:r>
          </w:p>
        </w:tc>
      </w:tr>
      <w:tr>
        <w:tc>
          <w:tcPr>
            <w:tcW w:type="dxa" w:w="2381"/>
          </w:tcPr>
          <w:p>
            <w:r/>
            <w:r>
              <w:rPr>
                <w:b w:val="0"/>
                <w:sz w:val="19"/>
              </w:rPr>
              <w:t>MSISDN</w:t>
            </w:r>
          </w:p>
        </w:tc>
        <w:tc>
          <w:tcPr>
            <w:tcW w:type="dxa" w:w="7143"/>
          </w:tcPr>
          <w:p>
            <w:r/>
            <w:r>
              <w:rPr>
                <w:b w:val="0"/>
                <w:sz w:val="19"/>
              </w:rPr>
              <w:t>Numéro au format international (229 + numéro national).</w:t>
            </w:r>
          </w:p>
        </w:tc>
      </w:tr>
      <w:tr>
        <w:tc>
          <w:tcPr>
            <w:tcW w:type="dxa" w:w="2381"/>
          </w:tcPr>
          <w:p>
            <w:r/>
            <w:r>
              <w:rPr>
                <w:b w:val="0"/>
                <w:sz w:val="19"/>
              </w:rPr>
              <w:t>Exonération</w:t>
            </w:r>
          </w:p>
        </w:tc>
        <w:tc>
          <w:tcPr>
            <w:tcW w:type="dxa" w:w="7143"/>
          </w:tcPr>
          <w:p>
            <w:r/>
            <w:r>
              <w:rPr>
                <w:b w:val="0"/>
                <w:sz w:val="19"/>
              </w:rPr>
              <w:t>Prise en charge par un tiers : aucun frais alloué.</w:t>
            </w:r>
          </w:p>
        </w:tc>
      </w:tr>
      <w:tr>
        <w:tc>
          <w:tcPr>
            <w:tcW w:type="dxa" w:w="2381"/>
          </w:tcPr>
          <w:p>
            <w:r/>
            <w:r>
              <w:rPr>
                <w:b w:val="0"/>
                <w:sz w:val="19"/>
              </w:rPr>
              <w:t>RBAC</w:t>
            </w:r>
          </w:p>
        </w:tc>
        <w:tc>
          <w:tcPr>
            <w:tcW w:type="dxa" w:w="7143"/>
          </w:tcPr>
          <w:p>
            <w:r/>
            <w:r>
              <w:rPr>
                <w:b w:val="0"/>
                <w:sz w:val="19"/>
              </w:rPr>
              <w:t>Contrôle d'accès par rôle/permission (Sanctum + Gates).</w:t>
            </w:r>
          </w:p>
        </w:tc>
      </w:tr>
      <w:tr>
        <w:tc>
          <w:tcPr>
            <w:tcW w:type="dxa" w:w="2381"/>
          </w:tcPr>
          <w:p>
            <w:r/>
            <w:r>
              <w:rPr>
                <w:b w:val="0"/>
                <w:sz w:val="19"/>
              </w:rPr>
              <w:t>Sanctum</w:t>
            </w:r>
          </w:p>
        </w:tc>
        <w:tc>
          <w:tcPr>
            <w:tcW w:type="dxa" w:w="7143"/>
          </w:tcPr>
          <w:p>
            <w:r/>
            <w:r>
              <w:rPr>
                <w:b w:val="0"/>
                <w:sz w:val="19"/>
              </w:rPr>
              <w:t>Module Laravel d'authentification API par tokens.</w:t>
            </w:r>
          </w:p>
        </w:tc>
      </w:tr>
      <w:tr>
        <w:tc>
          <w:tcPr>
            <w:tcW w:type="dxa" w:w="2381"/>
          </w:tcPr>
          <w:p>
            <w:r/>
            <w:r>
              <w:rPr>
                <w:b w:val="0"/>
                <w:sz w:val="19"/>
              </w:rPr>
              <w:t>FCFA</w:t>
            </w:r>
          </w:p>
        </w:tc>
        <w:tc>
          <w:tcPr>
            <w:tcW w:type="dxa" w:w="7143"/>
          </w:tcPr>
          <w:p>
            <w:r/>
            <w:r>
              <w:rPr>
                <w:b w:val="0"/>
                <w:sz w:val="19"/>
              </w:rPr>
              <w:t>Franc CFA — monnaie de la République du Bénin.</w:t>
            </w:r>
          </w:p>
        </w:tc>
      </w:tr>
    </w:tbl>
    <w:p/>
    <w:p/>
    <w:tbl>
      <w:tblPr>
        <w:tblW w:type="auto" w:w="0"/>
        <w:jc w:val="center"/>
        <w:tblLook w:firstColumn="1" w:firstRow="1" w:lastColumn="0" w:lastRow="0" w:noHBand="0" w:noVBand="1" w:val="04A0"/>
      </w:tblPr>
      <w:tblGrid>
        <w:gridCol w:w="2880"/>
        <w:gridCol w:w="2880"/>
        <w:gridCol w:w="2880"/>
      </w:tblGrid>
      <w:tr>
        <w:tc>
          <w:tcPr>
            <w:tcW w:type="dxa" w:w="3175"/>
            <w:shd w:val="clear" w:fill="1D9E4F"/>
          </w:tcPr>
          <w:p>
            <w:r>
              <w:rPr>
                <w:sz w:val="4"/>
              </w:rPr>
              <w:t xml:space="preserve"> </w:t>
            </w:r>
          </w:p>
        </w:tc>
        <w:tc>
          <w:tcPr>
            <w:tcW w:type="dxa" w:w="3175"/>
            <w:shd w:val="clear" w:fill="D4A843"/>
          </w:tcPr>
          <w:p>
            <w:r>
              <w:rPr>
                <w:sz w:val="4"/>
              </w:rPr>
              <w:t xml:space="preserve"> </w:t>
            </w:r>
          </w:p>
        </w:tc>
        <w:tc>
          <w:tcPr>
            <w:tcW w:type="dxa" w:w="3175"/>
            <w:shd w:val="clear" w:fill="CE1126"/>
          </w:tcPr>
          <w:p>
            <w:r>
              <w:rPr>
                <w:sz w:val="4"/>
              </w:rPr>
              <w:t xml:space="preserve"> </w:t>
            </w:r>
          </w:p>
        </w:tc>
      </w:tr>
    </w:tbl>
    <w:p>
      <w:pPr>
        <w:jc w:val="center"/>
      </w:pPr>
      <w:r>
        <w:rPr>
          <w:color w:val="4B5563"/>
          <w:sz w:val="18"/>
        </w:rPr>
        <w:t>Document élaboré par la Direction des Systèmes d'Information — ANaTT</w:t>
      </w:r>
    </w:p>
    <w:p>
      <w:pPr>
        <w:jc w:val="center"/>
      </w:pPr>
      <w:r>
        <w:rPr>
          <w:color w:val="4B5563"/>
          <w:sz w:val="18"/>
        </w:rPr>
        <w:t>© 2026 ANaTT — Agence Nationale des Transports Terrestres — Bénin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Calibri" w:hAnsi="Calibri"/>
      <w:b/>
      <w:bCs/>
      <w:color w:val="1D9E4F"/>
      <w:sz w:val="3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Calibri" w:hAnsi="Calibri"/>
      <w:b/>
      <w:bCs/>
      <w:color w:val="0A3D1F"/>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Calibri" w:hAnsi="Calibri"/>
      <w:b/>
      <w:bCs/>
      <w:color w:val="B8891A"/>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