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Le serveur SMTP et l'expéditeur saisis à l'écran sont appliqués à l'envoi (sinon le .env du serveur) ; bouton « Envoyer un e-mail de test ». L'écran présente aussi les notifications réellement envoyées, avec leurs destinataires.</w:t>
            </w:r>
          </w:p>
        </w:tc>
        <w:tc>
          <w:tcPr>
            <w:tcW w:type="dxa" w:w="1247"/>
          </w:tcPr>
          <w:p>
            <w:r/>
            <w:r>
              <w:rPr>
                <w:b w:val="0"/>
                <w:sz w:val="20"/>
              </w:rPr>
              <w:t>13.2</w:t>
            </w:r>
          </w:p>
        </w:tc>
      </w:tr>
      <w:tr>
        <w:tc>
          <w:tcPr>
            <w:tcW w:type="dxa" w:w="2041"/>
          </w:tcPr>
          <w:p>
            <w:r/>
            <w:r>
              <w:rPr>
                <w:b w:val="0"/>
                <w:sz w:val="20"/>
              </w:rPr>
              <w:t>Réglages de Paramètres</w:t>
            </w:r>
          </w:p>
        </w:tc>
        <w:tc>
          <w:tcPr>
            <w:tcW w:type="dxa" w:w="6236"/>
          </w:tcPr>
          <w:p>
            <w:r/>
            <w:r>
              <w:rPr>
                <w:b w:val="0"/>
                <w:sz w:val="20"/>
              </w:rPr>
              <w:t>Tous appliqués : opérateurs MTN / Moov, notifications par type, durée de session, tentatives de connexion, HTTPS forcé, journal des connexions échouées, mode maintenance, nom de l'application.</w:t>
            </w:r>
          </w:p>
        </w:tc>
        <w:tc>
          <w:tcPr>
            <w:tcW w:type="dxa" w:w="1247"/>
          </w:tcPr>
          <w:p>
            <w:r/>
            <w:r>
              <w:rPr>
                <w:b w:val="0"/>
                <w:sz w:val="20"/>
              </w:rPr>
              <w:t>13.2</w:t>
            </w:r>
          </w:p>
        </w:tc>
      </w:tr>
      <w:tr>
        <w:tc>
          <w:tcPr>
            <w:tcW w:type="dxa" w:w="2041"/>
          </w:tcPr>
          <w:p>
            <w:r/>
            <w:r>
              <w:rPr>
                <w:b w:val="0"/>
                <w:sz w:val="20"/>
              </w:rPr>
              <w:t>Erreur passagère</w:t>
            </w:r>
          </w:p>
        </w:tc>
        <w:tc>
          <w:tcPr>
            <w:tcW w:type="dxa" w:w="6236"/>
          </w:tcPr>
          <w:p>
            <w:r/>
            <w:r>
              <w:rPr>
                <w:b w:val="0"/>
                <w:sz w:val="20"/>
              </w:rPr>
              <w:t>Un incident momentané du serveur (trop de requêtes, erreur, coupure réseau) au rechargement d'une page ne vous déconnecte plus : l'écran d'erreur s'affiche et « Réessayer » vous ramène à la page demandée, toujours connecté.</w:t>
            </w:r>
          </w:p>
        </w:tc>
        <w:tc>
          <w:tcPr>
            <w:tcW w:type="dxa" w:w="1247"/>
          </w:tcPr>
          <w:p>
            <w:r/>
            <w:r>
              <w:rPr>
                <w:b w:val="0"/>
                <w:sz w:val="20"/>
              </w:rPr>
              <w:t>3.4</w:t>
            </w:r>
          </w:p>
        </w:tc>
      </w:tr>
      <w:tr>
        <w:tc>
          <w:tcPr>
            <w:tcW w:type="dxa" w:w="2041"/>
          </w:tcPr>
          <w:p>
            <w:r/>
            <w:r>
              <w:rPr>
                <w:b w:val="0"/>
                <w:sz w:val="20"/>
              </w:rPr>
              <w:t>Refus expliqués</w:t>
            </w:r>
          </w:p>
        </w:tc>
        <w:tc>
          <w:tcPr>
            <w:tcW w:type="dxa" w:w="6236"/>
          </w:tcPr>
          <w:p>
            <w:r/>
            <w:r>
              <w:rPr>
                <w:b w:val="0"/>
                <w:sz w:val="20"/>
              </w:rPr>
              <w:t>Quand l'écran Paramètres ou Messagerie refuse une valeur (part d'avance hors 0-100, port invalide…), il indique laquelle et pourquoi, au lieu de « Données invalides ».</w:t>
            </w:r>
          </w:p>
        </w:tc>
        <w:tc>
          <w:tcPr>
            <w:tcW w:type="dxa" w:w="1247"/>
          </w:tcPr>
          <w:p>
            <w:r/>
            <w:r>
              <w:rPr>
                <w:b w:val="0"/>
                <w:sz w:val="20"/>
              </w:rPr>
              <w:t>13.2</w:t>
            </w:r>
          </w:p>
        </w:tc>
      </w:tr>
      <w:tr>
        <w:tc>
          <w:tcPr>
            <w:tcW w:type="dxa" w:w="2041"/>
          </w:tcPr>
          <w:p>
            <w:r/>
            <w:r>
              <w:rPr>
                <w:b w:val="0"/>
                <w:sz w:val="20"/>
              </w:rPr>
              <w:t>E-mail qui ne part pas</w:t>
            </w:r>
          </w:p>
        </w:tc>
        <w:tc>
          <w:tcPr>
            <w:tcW w:type="dxa" w:w="6236"/>
          </w:tcPr>
          <w:p>
            <w:r/>
            <w:r>
              <w:rPr>
                <w:b w:val="0"/>
                <w:sz w:val="20"/>
              </w:rPr>
              <w:t>Si le serveur de messagerie ne répond pas, valider, signer, rejeter ou amender n'affiche plus d'erreur : l'action est faite, la notification apparaît dans la cloche, seul l'e-mail manque (à vérifier avec « Envoyer un e-mail de test »).</w:t>
            </w:r>
          </w:p>
        </w:tc>
        <w:tc>
          <w:tcPr>
            <w:tcW w:type="dxa" w:w="1247"/>
          </w:tcPr>
          <w:p>
            <w:r/>
            <w:r>
              <w:rPr>
                <w:b w:val="0"/>
                <w:sz w:val="20"/>
              </w:rPr>
              <w:t>13.2</w:t>
            </w:r>
          </w:p>
        </w:tc>
      </w:tr>
      <w:tr>
        <w:tc>
          <w:tcPr>
            <w:tcW w:type="dxa" w:w="2041"/>
          </w:tcPr>
          <w:p>
            <w:r/>
            <w:r>
              <w:rPr>
                <w:b w:val="0"/>
                <w:sz w:val="20"/>
              </w:rPr>
              <w:t>Saisie d'une mission</w:t>
            </w:r>
          </w:p>
        </w:tc>
        <w:tc>
          <w:tcPr>
            <w:tcW w:type="dxa" w:w="6236"/>
          </w:tcPr>
          <w:p>
            <w:r/>
            <w:r>
              <w:rPr>
                <w:b w:val="0"/>
                <w:sz w:val="20"/>
              </w:rPr>
              <w:t>Un même agent ajouté deux fois est signalé dès la saisie (« Agent déjà présent dans cette mission »).</w:t>
            </w:r>
          </w:p>
        </w:tc>
        <w:tc>
          <w:tcPr>
            <w:tcW w:type="dxa" w:w="1247"/>
          </w:tcPr>
          <w:p>
            <w:r/>
            <w:r>
              <w:rPr>
                <w:b w:val="0"/>
                <w:sz w:val="20"/>
              </w:rPr>
              <w:t>6.1</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2"/>
      </w:pPr>
      <w:r>
        <w:t>3.4 Erreur momentanée du serveur, maintenance</w:t>
      </w:r>
    </w:p>
    <w:p>
      <w:r>
        <w:rPr>
          <w:b w:val="0"/>
          <w:i w:val="0"/>
        </w:rPr>
        <w:t>Si le serveur ne répond pas correctement au moment où vous ouvrez ou rechargez une page (trop de requêtes en peu de temps, erreur passagère, coupure du réseau), l'application affiche l'écran « Erreur serveur » au lieu de la page demandée. Votre session est conservée : vous n'avez pas à vous reconnecter.</w:t>
      </w:r>
    </w:p>
    <w:p>
      <w:pPr>
        <w:pStyle w:val="ListNumber"/>
        <w:numPr>
          <w:ilvl w:val="0"/>
          <w:numId w:val="14"/>
        </w:numPr>
      </w:pPr>
      <w:r>
        <w:t>Patientez quelques instants (une minute au plus après « Trop de tentatives »).</w:t>
      </w:r>
    </w:p>
    <w:p>
      <w:pPr>
        <w:pStyle w:val="ListNumber"/>
        <w:numPr>
          <w:ilvl w:val="0"/>
          <w:numId w:val="14"/>
        </w:numPr>
      </w:pPr>
      <w:r>
        <w:t>Cliquez sur « Réessayer » : l'application vous ramène à la page que vous vouliez ouvrir.</w:t>
      </w:r>
    </w:p>
    <w:p>
      <w:r>
        <w:rPr>
          <w:b w:val="0"/>
          <w:i w:val="0"/>
        </w:rPr>
        <w:t>Pendant une mise à jour ou lorsque le super administrateur active le mode maintenance, l'écran « Maintenance en cours » s'affiche ; il revient de lui-même à votre page dès que le service reprend. Seule une session réellement expirée (durée de session dépassée, compte désactivé, mot de passe réinitialisé) vous renvoie à l'écran de connexion.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5"/>
        </w:numPr>
      </w:pPr>
      <w:r>
        <w:t>Cliquez sur « Nouvel agent » (ou « Modifier » depuis une fiche).</w:t>
      </w:r>
    </w:p>
    <w:p>
      <w:pPr>
        <w:pStyle w:val="ListNumber"/>
        <w:numPr>
          <w:ilvl w:val="0"/>
          <w:numId w:val="15"/>
        </w:numPr>
      </w:pPr>
      <w:r>
        <w:t>Renseignez l'identité, le matricule, l'indice ou le salaire brut (la catégorie en est déduite).</w:t>
      </w:r>
    </w:p>
    <w:p>
      <w:pPr>
        <w:pStyle w:val="ListNumber"/>
        <w:numPr>
          <w:ilvl w:val="0"/>
          <w:numId w:val="15"/>
        </w:numPr>
      </w:pPr>
      <w:r>
        <w:t>Saisissez le téléphone (10 chiffres, commençant par 01) et l'opérateur cohérent avec le numéro.</w:t>
      </w:r>
    </w:p>
    <w:p>
      <w:pPr>
        <w:pStyle w:val="ListNumber"/>
        <w:numPr>
          <w:ilvl w:val="0"/>
          <w:numId w:val="15"/>
        </w:numPr>
      </w:pPr>
      <w:r>
        <w:t>Enregistrez. La catégorie d'indice (≥ 800 / 400-799 / &lt; 400) est calculée automatiquement.</w:t>
      </w:r>
    </w:p>
    <w:p>
      <w:pPr>
        <w:pStyle w:val="Heading2"/>
      </w:pPr>
      <w:r>
        <w:t>5.3 Importer des agents (Excel / CSV)</w:t>
      </w:r>
    </w:p>
    <w:p>
      <w:pPr>
        <w:pStyle w:val="ListNumber"/>
        <w:numPr>
          <w:ilvl w:val="0"/>
          <w:numId w:val="16"/>
        </w:numPr>
      </w:pPr>
      <w:r>
        <w:t>Ouvrez « Import » dans le module Personnel.</w:t>
      </w:r>
    </w:p>
    <w:p>
      <w:pPr>
        <w:pStyle w:val="ListNumber"/>
        <w:numPr>
          <w:ilvl w:val="0"/>
          <w:numId w:val="16"/>
        </w:numPr>
      </w:pPr>
      <w:r>
        <w:t>Déposez votre fichier Excel/CSV et lancez la prévisualisation.</w:t>
      </w:r>
    </w:p>
    <w:p>
      <w:pPr>
        <w:pStyle w:val="ListNumber"/>
        <w:numPr>
          <w:ilvl w:val="0"/>
          <w:numId w:val="16"/>
        </w:numPr>
      </w:pPr>
      <w:r>
        <w:t>Consultez le rapport de contrôle : chaque ligne est vérifiée (unicité du matricule et du téléphone, cohérence numéro/opérateur).</w:t>
      </w:r>
    </w:p>
    <w:p>
      <w:pPr>
        <w:pStyle w:val="ListNumber"/>
        <w:numPr>
          <w:ilvl w:val="0"/>
          <w:numId w:val="16"/>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 Un agent ajouté deux fois est signalé sur sa fiche (« Agent déjà présent dans cette mission ») et bloque le passage au récapitulatif.</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7"/>
        </w:numPr>
      </w:pPr>
      <w:r>
        <w:t>Depuis la fiche de l'OM, cliquez sur « Amender ».</w:t>
      </w:r>
    </w:p>
    <w:p>
      <w:pPr>
        <w:pStyle w:val="ListNumber"/>
        <w:numPr>
          <w:ilvl w:val="0"/>
          <w:numId w:val="17"/>
        </w:numPr>
      </w:pPr>
      <w:r>
        <w:t>Saisissez le nouveau nombre de jours (ou la nouvelle répartition) et un motif obligatoire (≥ 10 caractères).</w:t>
      </w:r>
    </w:p>
    <w:p>
      <w:pPr>
        <w:pStyle w:val="ListNumber"/>
        <w:numPr>
          <w:ilvl w:val="0"/>
          <w:numId w:val="17"/>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 Si le serveur de messagerie ne répond pas, la signature est tout de même enregistrée et la cloche prévient le suivant : seul l'e-mail manque. Un type de notification coupé dans « Paramètres » n'est plus émis ; la file de travail des états montre toujours ce qui attend chacun.</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8"/>
        </w:numPr>
      </w:pPr>
      <w:r>
        <w:t>Dans le menu Paiements, ouvrez « Générer MTN » ou « Générer Moov ».</w:t>
      </w:r>
    </w:p>
    <w:p>
      <w:pPr>
        <w:pStyle w:val="ListNumber"/>
        <w:numPr>
          <w:ilvl w:val="0"/>
          <w:numId w:val="18"/>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8"/>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9"/>
        </w:numPr>
      </w:pPr>
      <w:r>
        <w:t>Déposez le fichier généré sur la plateforme de l'opérateur (hors application).</w:t>
      </w:r>
    </w:p>
    <w:p>
      <w:pPr>
        <w:pStyle w:val="ListNumber"/>
        <w:numPr>
          <w:ilvl w:val="0"/>
          <w:numId w:val="19"/>
        </w:numPr>
      </w:pPr>
      <w:r>
        <w:t>Une fois le dépôt réussi, revenez sur l'écran de génération et cliquez sur « Confirmer le paiement ».</w:t>
      </w:r>
    </w:p>
    <w:p>
      <w:pPr>
        <w:pStyle w:val="ListNumber"/>
        <w:numPr>
          <w:ilvl w:val="0"/>
          <w:numId w:val="19"/>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Bullet"/>
      </w:pPr>
      <w:r>
        <w:t>Les comptes qui constatent les recouvrements (« Paiements — confirmer », l'agent financier par défaut) en sont prévenus dans la cloche et par e-mail, sauf si cette notification est coupée dans « Paramètres » : l'écran « Régularisations » reste alors la seule alerte.</w:t>
      </w:r>
    </w:p>
    <w:p>
      <w:pPr>
        <w:pStyle w:val="ListNumber"/>
        <w:numPr>
          <w:ilvl w:val="0"/>
          <w:numId w:val="20"/>
        </w:numPr>
      </w:pPr>
      <w:r>
        <w:t>Ouvrez « Régularisations » : la liste des trop-perçus (à recouvrer / recouvrés) s'affiche, filtrable et paginée.</w:t>
      </w:r>
    </w:p>
    <w:p>
      <w:pPr>
        <w:pStyle w:val="ListNumber"/>
        <w:numPr>
          <w:ilvl w:val="0"/>
          <w:numId w:val="20"/>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20"/>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nom de l'application (titre de l'onglet du navigateur, et préfixe de l'objet des e-mails) et part de l'avance (%) appliquée à la répartition avance / reliquat (70 % par défaut). La part ne vaut que pour les OM retranscrits après la modification : les missions déjà saisies gardent leurs montants et leur part. Le fuseau horaire (heure du Bénin) y est affiché pour information : il est réglé sur le serveur.</w:t>
      </w:r>
    </w:p>
    <w:p>
      <w:r>
        <w:rPr>
          <w:b w:val="0"/>
          <w:i w:val="0"/>
        </w:rPr>
        <w:t>Tous les réglages de l'écran Paramètres sont appliqués par le serveur dès l'enregistrement (au plus tard une minute après). Un réglage jamais enregistré garde le comportement par défaut ; une valeur hors limites est refusée : l'écran indique laquelle et pourquoi (par exemple « Le pourcentage d'avance doit être un entier entre 0 et 100. ») et n'enregistre rien.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 Enregistrer tout » : </w:t>
            </w:r>
            <w:r>
              <w:rPr>
                <w:sz w:val="20"/>
              </w:rPr>
              <w:t>Le bouton enregistre tous les onglets en une fois, et chacun s'applique aussitôt. Avant de changer un seul réglage (la part de l'avance, par exemple), relisez les autres onglets : n'activez « Forcer HTTPS » que si l'adresse de l'application commence déjà par https://, et vérifiez que le mode maintenance est bien désactivé.</w:t>
            </w:r>
          </w:p>
        </w:tc>
      </w:tr>
    </w:tbl>
    <w:p/>
    <w:tbl>
      <w:tblPr>
        <w:tblStyle w:val="TableGrid"/>
        <w:tblW w:type="auto" w:w="0"/>
        <w:jc w:val="center"/>
        <w:tblLayout w:type="fixed"/>
        <w:tblLook w:firstColumn="1" w:firstRow="1" w:lastColumn="0" w:lastRow="0" w:noHBand="0" w:noVBand="1" w:val="04A0"/>
      </w:tblPr>
      <w:tblGrid>
        <w:gridCol w:w="1474"/>
        <w:gridCol w:w="2608"/>
        <w:gridCol w:w="5443"/>
      </w:tblGrid>
      <w:tr>
        <w:tc>
          <w:tcPr>
            <w:tcW w:type="dxa" w:w="1474"/>
            <w:shd w:val="clear" w:fill="1D9E4F"/>
          </w:tcPr>
          <w:p>
            <w:r/>
            <w:r>
              <w:rPr>
                <w:b/>
                <w:color w:val="FFFFFF"/>
                <w:sz w:val="20"/>
              </w:rPr>
              <w:t>Onglet</w:t>
            </w:r>
          </w:p>
        </w:tc>
        <w:tc>
          <w:tcPr>
            <w:tcW w:type="dxa" w:w="2608"/>
            <w:shd w:val="clear" w:fill="1D9E4F"/>
          </w:tcPr>
          <w:p>
            <w:r/>
            <w:r>
              <w:rPr>
                <w:b/>
                <w:color w:val="FFFFFF"/>
                <w:sz w:val="20"/>
              </w:rPr>
              <w:t>Réglage</w:t>
            </w:r>
          </w:p>
        </w:tc>
        <w:tc>
          <w:tcPr>
            <w:tcW w:type="dxa" w:w="5443"/>
            <w:shd w:val="clear" w:fill="1D9E4F"/>
          </w:tcPr>
          <w:p>
            <w:r/>
            <w:r>
              <w:rPr>
                <w:b/>
                <w:color w:val="FFFFFF"/>
                <w:sz w:val="20"/>
              </w:rPr>
              <w:t>Effet</w:t>
            </w:r>
          </w:p>
        </w:tc>
      </w:tr>
      <w:tr>
        <w:tc>
          <w:tcPr>
            <w:tcW w:type="dxa" w:w="1474"/>
          </w:tcPr>
          <w:p>
            <w:r/>
            <w:r>
              <w:rPr>
                <w:b w:val="0"/>
                <w:sz w:val="20"/>
              </w:rPr>
              <w:t>Paiements</w:t>
            </w:r>
          </w:p>
        </w:tc>
        <w:tc>
          <w:tcPr>
            <w:tcW w:type="dxa" w:w="2608"/>
          </w:tcPr>
          <w:p>
            <w:r/>
            <w:r>
              <w:rPr>
                <w:b w:val="0"/>
                <w:sz w:val="20"/>
              </w:rPr>
              <w:t>MTN / Moov activé</w:t>
            </w:r>
          </w:p>
        </w:tc>
        <w:tc>
          <w:tcPr>
            <w:tcW w:type="dxa" w:w="5443"/>
          </w:tcPr>
          <w:p>
            <w:r/>
            <w:r>
              <w:rPr>
                <w:b w:val="0"/>
                <w:sz w:val="20"/>
              </w:rPr>
              <w:t>Un opérateur désactivé n'est plus ouvert à la génération de fichiers : l'écran de génération l'indique et grise le bouton. L'aperçu reste consultable et les lots déjà générés restent confirmables.</w:t>
            </w:r>
          </w:p>
        </w:tc>
      </w:tr>
      <w:tr>
        <w:tc>
          <w:tcPr>
            <w:tcW w:type="dxa" w:w="1474"/>
          </w:tcPr>
          <w:p>
            <w:r/>
            <w:r>
              <w:rPr>
                <w:b w:val="0"/>
                <w:sz w:val="20"/>
              </w:rPr>
              <w:t>Notifications</w:t>
            </w:r>
          </w:p>
        </w:tc>
        <w:tc>
          <w:tcPr>
            <w:tcW w:type="dxa" w:w="2608"/>
          </w:tcPr>
          <w:p>
            <w:r/>
            <w:r>
              <w:rPr>
                <w:b w:val="0"/>
                <w:sz w:val="20"/>
              </w:rPr>
              <w:t>Une bascule par notification</w:t>
            </w:r>
          </w:p>
        </w:tc>
        <w:tc>
          <w:tcPr>
            <w:tcW w:type="dxa" w:w="5443"/>
          </w:tcPr>
          <w:p>
            <w:r/>
            <w:r>
              <w:rPr>
                <w:b w:val="0"/>
                <w:sz w:val="20"/>
              </w:rPr>
              <w:t>Une notification désactivée n'est plus émise du tout, ni dans la cloche ni par e-mail.</w:t>
            </w:r>
          </w:p>
        </w:tc>
      </w:tr>
      <w:tr>
        <w:tc>
          <w:tcPr>
            <w:tcW w:type="dxa" w:w="1474"/>
          </w:tcPr>
          <w:p>
            <w:r/>
            <w:r>
              <w:rPr>
                <w:b w:val="0"/>
                <w:sz w:val="20"/>
              </w:rPr>
              <w:t>Sécurité</w:t>
            </w:r>
          </w:p>
        </w:tc>
        <w:tc>
          <w:tcPr>
            <w:tcW w:type="dxa" w:w="2608"/>
          </w:tcPr>
          <w:p>
            <w:r/>
            <w:r>
              <w:rPr>
                <w:b w:val="0"/>
                <w:sz w:val="20"/>
              </w:rPr>
              <w:t>Durée de session (5 à 1440 min)</w:t>
            </w:r>
          </w:p>
        </w:tc>
        <w:tc>
          <w:tcPr>
            <w:tcW w:type="dxa" w:w="5443"/>
          </w:tcPr>
          <w:p>
            <w:r/>
            <w:r>
              <w:rPr>
                <w:b w:val="0"/>
                <w:sz w:val="20"/>
              </w:rPr>
              <w:t>Durée de validité d'une connexion ; au-delà, l'utilisateur doit se reconnecter (480 min par défaut).</w:t>
            </w:r>
          </w:p>
        </w:tc>
      </w:tr>
      <w:tr>
        <w:tc>
          <w:tcPr>
            <w:tcW w:type="dxa" w:w="1474"/>
          </w:tcPr>
          <w:p>
            <w:r/>
            <w:r>
              <w:rPr>
                <w:b w:val="0"/>
                <w:sz w:val="20"/>
              </w:rPr>
              <w:t>Sécurité</w:t>
            </w:r>
          </w:p>
        </w:tc>
        <w:tc>
          <w:tcPr>
            <w:tcW w:type="dxa" w:w="2608"/>
          </w:tcPr>
          <w:p>
            <w:r/>
            <w:r>
              <w:rPr>
                <w:b w:val="0"/>
                <w:sz w:val="20"/>
              </w:rPr>
              <w:t>Tentatives de connexion (3 à 20 par minute)</w:t>
            </w:r>
          </w:p>
        </w:tc>
        <w:tc>
          <w:tcPr>
            <w:tcW w:type="dxa" w:w="5443"/>
          </w:tcPr>
          <w:p>
            <w:r/>
            <w:r>
              <w:rPr>
                <w:b w:val="0"/>
                <w:sz w:val="20"/>
              </w:rPr>
              <w:t>Au-delà, la connexion est momentanément refusée : « Trop de tentatives en peu de temps » (5 par défaut).</w:t>
            </w:r>
          </w:p>
        </w:tc>
      </w:tr>
      <w:tr>
        <w:tc>
          <w:tcPr>
            <w:tcW w:type="dxa" w:w="1474"/>
          </w:tcPr>
          <w:p>
            <w:r/>
            <w:r>
              <w:rPr>
                <w:b w:val="0"/>
                <w:sz w:val="20"/>
              </w:rPr>
              <w:t>Sécurité</w:t>
            </w:r>
          </w:p>
        </w:tc>
        <w:tc>
          <w:tcPr>
            <w:tcW w:type="dxa" w:w="2608"/>
          </w:tcPr>
          <w:p>
            <w:r/>
            <w:r>
              <w:rPr>
                <w:b w:val="0"/>
                <w:sz w:val="20"/>
              </w:rPr>
              <w:t>Forcer HTTPS</w:t>
            </w:r>
          </w:p>
        </w:tc>
        <w:tc>
          <w:tcPr>
            <w:tcW w:type="dxa" w:w="5443"/>
          </w:tcPr>
          <w:p>
            <w:r/>
            <w:r>
              <w:rPr>
                <w:b w:val="0"/>
                <w:sz w:val="20"/>
              </w:rPr>
              <w:t>L'application refuse toute requête non chiffrée. À n'activer que si l'adresse de l'application commence déjà par https://.</w:t>
            </w:r>
          </w:p>
        </w:tc>
      </w:tr>
      <w:tr>
        <w:tc>
          <w:tcPr>
            <w:tcW w:type="dxa" w:w="1474"/>
          </w:tcPr>
          <w:p>
            <w:r/>
            <w:r>
              <w:rPr>
                <w:b w:val="0"/>
                <w:sz w:val="20"/>
              </w:rPr>
              <w:t>Sécurité</w:t>
            </w:r>
          </w:p>
        </w:tc>
        <w:tc>
          <w:tcPr>
            <w:tcW w:type="dxa" w:w="2608"/>
          </w:tcPr>
          <w:p>
            <w:r/>
            <w:r>
              <w:rPr>
                <w:b w:val="0"/>
                <w:sz w:val="20"/>
              </w:rPr>
              <w:t>Journaliser les connexions</w:t>
            </w:r>
          </w:p>
        </w:tc>
        <w:tc>
          <w:tcPr>
            <w:tcW w:type="dxa" w:w="5443"/>
          </w:tcPr>
          <w:p>
            <w:r/>
            <w:r>
              <w:rPr>
                <w:b w:val="0"/>
                <w:sz w:val="20"/>
              </w:rPr>
              <w:t>Les connexions échouées sont aussi tracées au journal d'audit (e-mail saisi, motif) ; les connexions réussies le sont toujours.</w:t>
            </w:r>
          </w:p>
        </w:tc>
      </w:tr>
      <w:tr>
        <w:tc>
          <w:tcPr>
            <w:tcW w:type="dxa" w:w="1474"/>
          </w:tcPr>
          <w:p>
            <w:r/>
            <w:r>
              <w:rPr>
                <w:b w:val="0"/>
                <w:sz w:val="20"/>
              </w:rPr>
              <w:t>Maintenance</w:t>
            </w:r>
          </w:p>
        </w:tc>
        <w:tc>
          <w:tcPr>
            <w:tcW w:type="dxa" w:w="2608"/>
          </w:tcPr>
          <w:p>
            <w:r/>
            <w:r>
              <w:rPr>
                <w:b w:val="0"/>
                <w:sz w:val="20"/>
              </w:rPr>
              <w:t>Mode maintenance</w:t>
            </w:r>
          </w:p>
        </w:tc>
        <w:tc>
          <w:tcPr>
            <w:tcW w:type="dxa" w:w="5443"/>
          </w:tcPr>
          <w:p>
            <w:r/>
            <w:r>
              <w:rPr>
                <w:b w:val="0"/>
                <w:sz w:val="20"/>
              </w:rPr>
              <w:t>Tous les utilisateurs voient l'écran « Maintenance en cours », sauf le super administrateur, qui peut continuer à travailler puis lever le mode.</w:t>
            </w:r>
          </w:p>
        </w:tc>
      </w:tr>
    </w:tbl>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un serveur renseigné remplace, dès l'e-mail suivant, celui du fichier .env du serveur (laissé vide, c'est le .env qui s'applique) ; l'adresse et le nom d'expéditeur aussi. Le bouton « Envoyer un e-mail de test » enregistre puis écrit à votre adresse : un échec affiche le message du serveur de messagerie. Le mot de passe est stocké chiffré et n'est jamais réaffiché en clair. L'écran liste les sept notifications envoyées (état à signer, état validé ou rejeté, OM validé ou rejeté, lot confirmé, trop-perçu créé) avec la permission de leurs destinataires.</w:t>
      </w:r>
    </w:p>
    <w:p>
      <w:pPr>
        <w:jc w:val="center"/>
      </w:pPr>
      <w:r>
        <w:drawing>
          <wp:inline xmlns:a="http://schemas.openxmlformats.org/drawingml/2006/main" xmlns:pic="http://schemas.openxmlformats.org/drawingml/2006/picture">
            <wp:extent cx="5760000" cy="5512000"/>
            <wp:docPr id="14" name="Picture 14"/>
            <wp:cNvGraphicFramePr>
              <a:graphicFrameLocks noChangeAspect="1"/>
            </wp:cNvGraphicFramePr>
            <a:graphic>
              <a:graphicData uri="http://schemas.openxmlformats.org/drawingml/2006/picture">
                <pic:pic>
                  <pic:nvPicPr>
                    <pic:cNvPr id="0" name="51_config_email.jpg"/>
                    <pic:cNvPicPr/>
                  </pic:nvPicPr>
                  <pic:blipFill>
                    <a:blip r:embed="rId22"/>
                    <a:stretch>
                      <a:fillRect/>
                    </a:stretch>
                  </pic:blipFill>
                  <pic:spPr>
                    <a:xfrm>
                      <a:off x="0" y="0"/>
                      <a:ext cx="5760000" cy="5512000"/>
                    </a:xfrm>
                    <a:prstGeom prst="rect"/>
                  </pic:spPr>
                </pic:pic>
              </a:graphicData>
            </a:graphic>
          </wp:inline>
        </w:drawing>
      </w:r>
    </w:p>
    <w:p>
      <w:pPr>
        <w:jc w:val="center"/>
      </w:pPr>
      <w:r>
        <w:rPr>
          <w:i/>
          <w:color w:val="4B5563"/>
          <w:sz w:val="18"/>
        </w:rPr>
        <w:t>Figure — configuration e-mail : serveur SMTP, expéditeur et e-mail de test</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1"/>
        </w:numPr>
      </w:pPr>
      <w:r>
        <w:t>Survolez la sauvegarde voulue et cliquez sur l'icône « Restaurer ».</w:t>
      </w:r>
    </w:p>
    <w:p>
      <w:pPr>
        <w:pStyle w:val="ListNumber"/>
        <w:numPr>
          <w:ilvl w:val="0"/>
          <w:numId w:val="21"/>
        </w:numPr>
      </w:pPr>
      <w:r>
        <w:t>Lisez l'avertissement : la base actuelle sera entièrement remplacée.</w:t>
      </w:r>
    </w:p>
    <w:p>
      <w:pPr>
        <w:pStyle w:val="ListNumber"/>
        <w:numPr>
          <w:ilvl w:val="0"/>
          <w:numId w:val="21"/>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