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nil"/>
              <w:left w:val="nil"/>
              <w:bottom w:val="nil"/>
              <w:right w:val="nil"/>
            </w:tcBorders>
            <w:shd w:fill="1D9E4F" w:val="clear"/>
          </w:tcPr>
          <w:p/>
        </w:tc>
        <w:tc>
          <w:tcPr>
            <w:tcW w:type="dxa" w:w="3009"/>
            <w:tcBorders>
              <w:top w:val="nil"/>
              <w:left w:val="nil"/>
              <w:bottom w:val="nil"/>
              <w:right w:val="nil"/>
            </w:tcBorders>
            <w:shd w:fill="D4A843" w:val="clear"/>
          </w:tcPr>
          <w:p/>
        </w:tc>
        <w:tc>
          <w:tcPr>
            <w:tcW w:type="dxa" w:w="3009"/>
            <w:tcBorders>
              <w:top w:val="nil"/>
              <w:left w:val="nil"/>
              <w:bottom w:val="nil"/>
              <w:right w:val="nil"/>
            </w:tcBorders>
            <w:shd w:fill="CE1126" w:val="clear"/>
          </w:tcPr>
          <w:p/>
        </w:tc>
      </w:tr>
    </w:tbl>
    <w:p>
      <w:pPr>
        <w:spacing w:after="0" w:before="800"/>
      </w:pPr>
    </w:p>
    <w:p>
      <w:pPr>
        <w:spacing w:after="40" w:before="40"/>
        <w:jc w:val="center"/>
      </w:pPr>
      <w:r>
        <w:rPr>
          <w:rFonts w:ascii="Arial" w:cs="Arial" w:eastAsia="Arial" w:hAnsi="Arial"/>
          <w:b/>
          <w:bCs/>
          <w:caps/>
          <w:color w:val="0A3D1F"/>
          <w:sz w:val="24"/>
          <w:szCs w:val="24"/>
        </w:rPr>
        <w:t xml:space="preserve">RÉPUBLIQUE DU BÉNIN</w:t>
      </w:r>
    </w:p>
    <w:p>
      <w:pPr>
        <w:spacing w:after="40" w:before="40"/>
        <w:jc w:val="center"/>
      </w:pPr>
      <w:r>
        <w:rPr>
          <w:rFonts w:ascii="Arial" w:cs="Arial" w:eastAsia="Arial" w:hAnsi="Arial"/>
          <w:i/>
          <w:iCs/>
          <w:color w:val="374151"/>
          <w:sz w:val="22"/>
          <w:szCs w:val="22"/>
        </w:rPr>
        <w:t xml:space="preserve">Agence Nationale des Transports Terrestres</w:t>
      </w:r>
    </w:p>
    <w:p>
      <w:pPr>
        <w:spacing w:after="60" w:before="40"/>
        <w:jc w:val="center"/>
      </w:pPr>
      <w:r>
        <w:rPr>
          <w:rFonts w:ascii="Arial" w:cs="Arial" w:eastAsia="Arial" w:hAnsi="Arial"/>
          <w:b/>
          <w:bCs/>
          <w:color w:val="1D9E4F"/>
          <w:sz w:val="52"/>
          <w:szCs w:val="52"/>
        </w:rPr>
        <w:t xml:space="preserve">ANaTT</w:t>
      </w:r>
    </w:p>
    <w:p>
      <w:pPr>
        <w:pBdr>
          <w:bottom w:val="single" w:color="1D9E4F" w:sz="6" w:space="1"/>
        </w:pBdr>
        <w:spacing w:after="160" w:before="160"/>
      </w:pPr>
    </w:p>
    <w:p>
      <w:pPr>
        <w:spacing w:after="0" w:before="400"/>
      </w:pPr>
    </w:p>
    <w:p>
      <w:pPr>
        <w:spacing w:after="40" w:before="40"/>
        <w:jc w:val="center"/>
      </w:pPr>
      <w:r>
        <w:rPr>
          <w:rFonts w:ascii="Arial" w:cs="Arial" w:eastAsia="Arial" w:hAnsi="Arial"/>
          <w:b/>
          <w:bCs/>
          <w:caps/>
          <w:color w:val="0A3D1F"/>
          <w:sz w:val="48"/>
          <w:szCs w:val="48"/>
        </w:rPr>
        <w:t xml:space="preserve">DOCUMENTATION</w:t>
      </w:r>
    </w:p>
    <w:p>
      <w:pPr>
        <w:spacing w:after="60" w:before="40"/>
        <w:jc w:val="center"/>
      </w:pPr>
      <w:r>
        <w:rPr>
          <w:rFonts w:ascii="Arial" w:cs="Arial" w:eastAsia="Arial" w:hAnsi="Arial"/>
          <w:b/>
          <w:bCs/>
          <w:caps/>
          <w:color w:val="0A3D1F"/>
          <w:sz w:val="40"/>
          <w:szCs w:val="40"/>
        </w:rPr>
        <w:t xml:space="preserve">TECHNIQUE ET FONCTIONNELLE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9E4F" w:sz="8"/>
              <w:left w:val="single" w:color="1D9E4F" w:sz="8"/>
              <w:bottom w:val="single" w:color="1D9E4F" w:sz="8"/>
              <w:right w:val="single" w:color="1D9E4F" w:sz="8"/>
            </w:tcBorders>
            <w:shd w:fill="EDFAF2" w:val="clear"/>
            <w:tcMar>
              <w:top w:type="dxa" w:w="200"/>
              <w:left w:type="dxa" w:w="300"/>
              <w:bottom w:type="dxa" w:w="200"/>
              <w:right w:type="dxa" w:w="300"/>
            </w:tcMar>
          </w:tcPr>
          <w:p>
            <w:pPr>
              <w:spacing w:after="60" w:before="60"/>
              <w:jc w:val="center"/>
            </w:pPr>
            <w:r>
              <w:rPr>
                <w:rFonts w:ascii="Arial" w:cs="Arial" w:eastAsia="Arial" w:hAnsi="Arial"/>
                <w:b/>
                <w:bCs/>
                <w:color w:val="0A3D1F"/>
                <w:sz w:val="36"/>
                <w:szCs w:val="36"/>
              </w:rPr>
              <w:t xml:space="preserve">Système de Gestion des Ordres de Mission</w:t>
            </w:r>
          </w:p>
          <w:p>
            <w:pPr>
              <w:spacing w:after="60" w:before="40"/>
              <w:jc w:val="center"/>
            </w:pPr>
            <w:r>
              <w:rPr>
                <w:rFonts w:ascii="Arial" w:cs="Arial" w:eastAsia="Arial" w:hAnsi="Arial"/>
                <w:color w:val="1D9E4F"/>
                <w:sz w:val="32"/>
                <w:szCs w:val="32"/>
              </w:rPr>
              <w:t xml:space="preserve">et des Paiements Per Diem</w:t>
            </w:r>
          </w:p>
          <w:p>
            <w:pPr>
              <w:spacing w:after="60" w:before="40"/>
              <w:jc w:val="center"/>
            </w:pPr>
            <w:r>
              <w:rPr>
                <w:rFonts w:ascii="Arial" w:cs="Arial" w:eastAsia="Arial" w:hAnsi="Arial"/>
                <w:i/>
                <w:iCs/>
                <w:color w:val="374151"/>
                <w:sz w:val="24"/>
                <w:szCs w:val="24"/>
              </w:rPr>
              <w:t xml:space="preserve">Automatisation Mobile Money Moov &amp; MTN</w:t>
            </w:r>
          </w:p>
        </w:tc>
      </w:tr>
    </w:tbl>
    <w:p>
      <w:pPr>
        <w:spacing w:after="0" w:before="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Attribut</w:t>
            </w:r>
          </w:p>
        </w:tc>
        <w:tc>
          <w:tcPr>
            <w:tcW w:type="dxa" w:w="60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Valeur</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Version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1.0.0</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Date de rédaction</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Avril 2026</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Statut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En cours de développement</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Responsable</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Direction des Ressources Humaines — ANaTT</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Classification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Document interne — Usage restreint</w:t>
            </w:r>
          </w:p>
        </w:tc>
      </w:tr>
    </w:tbl>
    <w:p>
      <w:pPr>
        <w:spacing w:after="0" w:before="600"/>
      </w:pPr>
    </w:p>
    <w:p>
      <w:pPr>
        <w:pBdr>
          <w:bottom w:val="single" w:color="1D9E4F" w:sz="6" w:space="1"/>
        </w:pBdr>
        <w:spacing w:after="160"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nil"/>
              <w:left w:val="nil"/>
              <w:bottom w:val="nil"/>
              <w:right w:val="nil"/>
            </w:tcBorders>
            <w:shd w:fill="1D9E4F" w:val="clear"/>
          </w:tcPr>
          <w:p/>
        </w:tc>
        <w:tc>
          <w:tcPr>
            <w:tcW w:type="dxa" w:w="3009"/>
            <w:tcBorders>
              <w:top w:val="nil"/>
              <w:left w:val="nil"/>
              <w:bottom w:val="nil"/>
              <w:right w:val="nil"/>
            </w:tcBorders>
            <w:shd w:fill="D4A843" w:val="clear"/>
          </w:tcPr>
          <w:p/>
        </w:tc>
        <w:tc>
          <w:tcPr>
            <w:tcW w:type="dxa" w:w="3009"/>
            <w:tcBorders>
              <w:top w:val="nil"/>
              <w:left w:val="nil"/>
              <w:bottom w:val="nil"/>
              <w:right w:val="nil"/>
            </w:tcBorders>
            <w:shd w:fill="CE1126" w:val="clear"/>
          </w:tcPr>
          <w:p/>
        </w:tc>
      </w:tr>
    </w:tbl>
    <w:p>
      <w:r>
        <w:br w:type="page"/>
      </w:r>
    </w:p>
    <w:p>
      <w:pPr>
        <w:sectPr>
          <w:pgSz w:w="11906" w:h="16838" w:orient="portrait"/>
          <w:pgMar w:top="1440" w:right="1440" w:bottom="1440" w:left="1440" w:header="708" w:footer="708" w:gutter="0"/>
          <w:pgNumType/>
          <w:docGrid w:linePitch="360"/>
        </w:sectPr>
      </w:pPr>
    </w:p>
    <w:p>
      <w:pPr>
        <w:spacing w:after="120" w:before="200"/>
        <w:jc w:val="center"/>
      </w:pPr>
      <w:r>
        <w:rPr>
          <w:rFonts w:ascii="Arial" w:cs="Arial" w:eastAsia="Arial" w:hAnsi="Arial"/>
          <w:b/>
          <w:bCs/>
          <w:caps/>
          <w:color w:val="0A3D1F"/>
          <w:sz w:val="32"/>
          <w:szCs w:val="32"/>
        </w:rPr>
        <w:t xml:space="preserve">TABLE DES MATIÈRES</w:t>
      </w:r>
    </w:p>
    <w:p>
      <w:pPr>
        <w:pBdr>
          <w:bottom w:val="single" w:color="1D9E4F" w:sz="6" w:space="1"/>
        </w:pBdr>
        <w:spacing w:after="160" w:before="160"/>
      </w:pP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Contexte</w:t>
      </w:r>
    </w:p>
    <w:p>
      <w:pPr>
        <w:pStyle w:val="Heading2"/>
        <w:spacing w:after="150" w:before="300"/>
      </w:pPr>
      <w:r>
        <w:t xml:space="preserve">1.1 Présentation du projet</w:t>
      </w:r>
    </w:p>
    <w:p>
      <w:pPr>
        <w:spacing w:after="60" w:before="60"/>
      </w:pPr>
      <w:r>
        <w:rPr>
          <w:rFonts w:ascii="Arial" w:cs="Arial" w:eastAsia="Arial" w:hAnsi="Arial"/>
          <w:sz w:val="22"/>
          <w:szCs w:val="22"/>
        </w:rPr>
        <w:t xml:space="preserve">Le Système de Gestion des Ordres de Mission (SGOM) est une application web développée pour l'Agence Nationale des Transports Terrestres (ANaTT) de la République du Bénin. Elle vise à dématérialiser entièrement le processus de gestion des ordres de mission du personnel, depuis la création jusqu'au paiement des per diem via Mobile Money.</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9E4F" w:sz="4"/>
              <w:left w:val="thick" w:color="1D9E4F" w:sz="12"/>
              <w:bottom w:val="single" w:color="1D9E4F" w:sz="4"/>
              <w:right w:val="single" w:color="1D9E4F" w:sz="1"/>
            </w:tcBorders>
            <w:shd w:fill="EDFAF2"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Objectif principal : Éliminer les traitements manuels (Excel, papier) et réduire les délais de paiement des indemnités de mission de 15 jours à 48 heures.</w:t>
            </w:r>
          </w:p>
          <w:p>
            <w:pPr>
              <w:spacing w:after="40" w:before="40"/>
            </w:pPr>
            <w:r>
              <w:rPr>
                <w:rFonts w:ascii="Arial" w:cs="Arial" w:eastAsia="Arial" w:hAnsi="Arial"/>
                <w:color w:val="1F2937"/>
                <w:sz w:val="20"/>
                <w:szCs w:val="20"/>
              </w:rPr>
              <w:t xml:space="preserve">Gain attendu : Gain de temps de 80%, traçabilité totale, réduction des erreurs de calcul.</w:t>
            </w:r>
          </w:p>
        </w:tc>
      </w:tr>
    </w:tbl>
    <w:p>
      <w:pPr>
        <w:spacing w:after="0" w:before="120"/>
      </w:pPr>
    </w:p>
    <w:p>
      <w:pPr>
        <w:pStyle w:val="Heading2"/>
        <w:spacing w:after="150" w:before="300"/>
      </w:pPr>
      <w:r>
        <w:t xml:space="preserve">1.2 Périmètre fonctionnel</w:t>
      </w:r>
    </w:p>
    <w:p>
      <w:pPr>
        <w:spacing w:after="60" w:before="60"/>
      </w:pPr>
      <w:r>
        <w:rPr>
          <w:rFonts w:ascii="Arial" w:cs="Arial" w:eastAsia="Arial" w:hAnsi="Arial"/>
          <w:sz w:val="22"/>
          <w:szCs w:val="22"/>
        </w:rPr>
        <w:t xml:space="preserve">Le système couvre les domaines suivants :</w:t>
      </w:r>
    </w:p>
    <w:p>
      <w:pPr>
        <w:pStyle w:val="ListParagraph"/>
        <w:numPr>
          <w:ilvl w:val="0"/>
          <w:numId w:val="2"/>
        </w:numPr>
        <w:spacing w:after="40" w:before="40"/>
      </w:pPr>
      <w:r>
        <w:rPr>
          <w:rFonts w:ascii="Arial" w:cs="Arial" w:eastAsia="Arial" w:hAnsi="Arial"/>
          <w:sz w:val="22"/>
          <w:szCs w:val="22"/>
        </w:rPr>
        <w:t xml:space="preserve">Création et gestion électronique des ordres de mission</w:t>
      </w:r>
    </w:p>
    <w:p>
      <w:pPr>
        <w:pStyle w:val="ListParagraph"/>
        <w:numPr>
          <w:ilvl w:val="0"/>
          <w:numId w:val="2"/>
        </w:numPr>
        <w:spacing w:after="40" w:before="40"/>
      </w:pPr>
      <w:r>
        <w:rPr>
          <w:rFonts w:ascii="Arial" w:cs="Arial" w:eastAsia="Arial" w:hAnsi="Arial"/>
          <w:sz w:val="22"/>
          <w:szCs w:val="22"/>
        </w:rPr>
        <w:t xml:space="preserve">Circuit de validation hiérarchique à deux niveaux</w:t>
      </w:r>
    </w:p>
    <w:p>
      <w:pPr>
        <w:pStyle w:val="ListParagraph"/>
        <w:numPr>
          <w:ilvl w:val="0"/>
          <w:numId w:val="2"/>
        </w:numPr>
        <w:spacing w:after="40" w:before="40"/>
      </w:pPr>
      <w:r>
        <w:rPr>
          <w:rFonts w:ascii="Arial" w:cs="Arial" w:eastAsia="Arial" w:hAnsi="Arial"/>
          <w:sz w:val="22"/>
          <w:szCs w:val="22"/>
        </w:rPr>
        <w:t xml:space="preserve">Calcul automatique des indemnités (per diem) par catégorie d'agent</w:t>
      </w:r>
    </w:p>
    <w:p>
      <w:pPr>
        <w:pStyle w:val="ListParagraph"/>
        <w:numPr>
          <w:ilvl w:val="0"/>
          <w:numId w:val="2"/>
        </w:numPr>
        <w:spacing w:after="40" w:before="40"/>
      </w:pPr>
      <w:r>
        <w:rPr>
          <w:rFonts w:ascii="Arial" w:cs="Arial" w:eastAsia="Arial" w:hAnsi="Arial"/>
          <w:sz w:val="22"/>
          <w:szCs w:val="22"/>
        </w:rPr>
        <w:t xml:space="preserve">Génération automatisée des fichiers de virement Mobile Money (Moov Africa &amp; MTN Bénin)</w:t>
      </w:r>
    </w:p>
    <w:p>
      <w:pPr>
        <w:pStyle w:val="ListParagraph"/>
        <w:numPr>
          <w:ilvl w:val="0"/>
          <w:numId w:val="2"/>
        </w:numPr>
        <w:spacing w:after="40" w:before="40"/>
      </w:pPr>
      <w:r>
        <w:rPr>
          <w:rFonts w:ascii="Arial" w:cs="Arial" w:eastAsia="Arial" w:hAnsi="Arial"/>
          <w:sz w:val="22"/>
          <w:szCs w:val="22"/>
        </w:rPr>
        <w:t xml:space="preserve">Génération de documents officiels (ordres de mission PDF, rapports Excel)</w:t>
      </w:r>
    </w:p>
    <w:p>
      <w:pPr>
        <w:pStyle w:val="ListParagraph"/>
        <w:numPr>
          <w:ilvl w:val="0"/>
          <w:numId w:val="2"/>
        </w:numPr>
        <w:spacing w:after="40" w:before="40"/>
      </w:pPr>
      <w:r>
        <w:rPr>
          <w:rFonts w:ascii="Arial" w:cs="Arial" w:eastAsia="Arial" w:hAnsi="Arial"/>
          <w:sz w:val="22"/>
          <w:szCs w:val="22"/>
        </w:rPr>
        <w:t xml:space="preserve">Suivi des paiements et réconciliation avec les retours opérateurs</w:t>
      </w:r>
    </w:p>
    <w:p>
      <w:pPr>
        <w:pStyle w:val="ListParagraph"/>
        <w:numPr>
          <w:ilvl w:val="0"/>
          <w:numId w:val="2"/>
        </w:numPr>
        <w:spacing w:after="40" w:before="40"/>
      </w:pPr>
      <w:r>
        <w:rPr>
          <w:rFonts w:ascii="Arial" w:cs="Arial" w:eastAsia="Arial" w:hAnsi="Arial"/>
          <w:sz w:val="22"/>
          <w:szCs w:val="22"/>
        </w:rPr>
        <w:t xml:space="preserve">Audit et traçabilité complète de toutes les actions</w:t>
      </w:r>
    </w:p>
    <w:p>
      <w:pPr>
        <w:spacing w:after="0" w:before="120"/>
      </w:pPr>
    </w:p>
    <w:p>
      <w:pPr>
        <w:pStyle w:val="Heading2"/>
        <w:spacing w:after="150" w:before="300"/>
      </w:pPr>
      <w:r>
        <w:t xml:space="preserve">1.3 Acteurs et parties prenantes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Rôle</w:t>
            </w:r>
          </w:p>
        </w:tc>
        <w:tc>
          <w:tcPr>
            <w:tcW w:type="dxa" w:w="50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Responsabilités principales</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Agent</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Utilisateur final</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Créer et soumettre ses ordres de mission</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Chef de service</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Validateur N+1</w:t>
            </w:r>
          </w:p>
        </w:tc>
        <w:tc>
          <w:tcPr>
            <w:tcW w:type="dxa" w:w="5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Valider ou rejeter les OM de son service</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Directeur Général</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Approbateur final</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Approuver les OM validés par les chefs de service</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DRH / Gestionnaire RH</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Gestionnaire</w:t>
            </w:r>
          </w:p>
        </w:tc>
        <w:tc>
          <w:tcPr>
            <w:tcW w:type="dxa" w:w="5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Gérer les agents, taux per diem, paiements</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Administrateur système</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Admin</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Configuration, utilisateurs, sauvegardes</w:t>
            </w:r>
          </w:p>
        </w:tc>
      </w:tr>
    </w:tbl>
    <w:p>
      <w:pPr>
        <w:spacing w:after="0" w:before="120"/>
      </w:pPr>
    </w:p>
    <w:p>
      <w:pPr>
        <w:pStyle w:val="Heading2"/>
        <w:spacing w:after="150" w:before="300"/>
      </w:pPr>
      <w:r>
        <w:t xml:space="preserve">1.4 Contraintes et exigences</w:t>
      </w:r>
    </w:p>
    <w:p>
      <w:pPr>
        <w:pStyle w:val="ListParagraph"/>
        <w:numPr>
          <w:ilvl w:val="0"/>
          <w:numId w:val="2"/>
        </w:numPr>
        <w:spacing w:after="40" w:before="40"/>
      </w:pPr>
      <w:r>
        <w:rPr>
          <w:rFonts w:ascii="Arial" w:cs="Arial" w:eastAsia="Arial" w:hAnsi="Arial"/>
          <w:sz w:val="22"/>
          <w:szCs w:val="22"/>
        </w:rPr>
        <w:t xml:space="preserve">Disponibilité 24h/24 — 7j/7 pour la consultation des ordres</w:t>
      </w:r>
    </w:p>
    <w:p>
      <w:pPr>
        <w:pStyle w:val="ListParagraph"/>
        <w:numPr>
          <w:ilvl w:val="0"/>
          <w:numId w:val="2"/>
        </w:numPr>
        <w:spacing w:after="40" w:before="40"/>
      </w:pPr>
      <w:r>
        <w:rPr>
          <w:rFonts w:ascii="Arial" w:cs="Arial" w:eastAsia="Arial" w:hAnsi="Arial"/>
          <w:sz w:val="22"/>
          <w:szCs w:val="22"/>
        </w:rPr>
        <w:t xml:space="preserve">Délai de traitement d'un paiement &lt; 48h après approbation DG</w:t>
      </w:r>
    </w:p>
    <w:p>
      <w:pPr>
        <w:pStyle w:val="ListParagraph"/>
        <w:numPr>
          <w:ilvl w:val="0"/>
          <w:numId w:val="2"/>
        </w:numPr>
        <w:spacing w:after="40" w:before="40"/>
      </w:pPr>
      <w:r>
        <w:rPr>
          <w:rFonts w:ascii="Arial" w:cs="Arial" w:eastAsia="Arial" w:hAnsi="Arial"/>
          <w:sz w:val="22"/>
          <w:szCs w:val="22"/>
        </w:rPr>
        <w:t xml:space="preserve">Compatibilité avec les formats d'API Moov Africa et MTN Bénin</w:t>
      </w:r>
    </w:p>
    <w:p>
      <w:pPr>
        <w:pStyle w:val="ListParagraph"/>
        <w:numPr>
          <w:ilvl w:val="0"/>
          <w:numId w:val="2"/>
        </w:numPr>
        <w:spacing w:after="40" w:before="40"/>
      </w:pPr>
      <w:r>
        <w:rPr>
          <w:rFonts w:ascii="Arial" w:cs="Arial" w:eastAsia="Arial" w:hAnsi="Arial"/>
          <w:sz w:val="22"/>
          <w:szCs w:val="22"/>
        </w:rPr>
        <w:t xml:space="preserve">Authentification sécurisée obligatoire (tokens Sanctum, session 8h)</w:t>
      </w:r>
    </w:p>
    <w:p>
      <w:pPr>
        <w:pStyle w:val="ListParagraph"/>
        <w:numPr>
          <w:ilvl w:val="0"/>
          <w:numId w:val="2"/>
        </w:numPr>
        <w:spacing w:after="40" w:before="40"/>
      </w:pPr>
      <w:r>
        <w:rPr>
          <w:rFonts w:ascii="Arial" w:cs="Arial" w:eastAsia="Arial" w:hAnsi="Arial"/>
          <w:sz w:val="22"/>
          <w:szCs w:val="22"/>
        </w:rPr>
        <w:t xml:space="preserve">Journalisation (audit log) de toutes les actions sensibles</w:t>
      </w:r>
    </w:p>
    <w:p>
      <w:pPr>
        <w:pStyle w:val="ListParagraph"/>
        <w:numPr>
          <w:ilvl w:val="0"/>
          <w:numId w:val="2"/>
        </w:numPr>
        <w:spacing w:after="40" w:before="40"/>
      </w:pPr>
      <w:r>
        <w:rPr>
          <w:rFonts w:ascii="Arial" w:cs="Arial" w:eastAsia="Arial" w:hAnsi="Arial"/>
          <w:sz w:val="22"/>
          <w:szCs w:val="22"/>
        </w:rPr>
        <w:t xml:space="preserve">Export PDF conforme aux standards administratifs béninois</w:t>
      </w:r>
    </w:p>
    <w:p>
      <w:r>
        <w:br w:type="page"/>
      </w:r>
    </w:p>
    <w:p>
      <w:pPr>
        <w:pStyle w:val="Heading1"/>
        <w:spacing w:after="200" w:before="400"/>
      </w:pPr>
      <w:r>
        <w:t xml:space="preserve">2. Architecture Technique</w:t>
      </w:r>
    </w:p>
    <w:p>
      <w:pPr>
        <w:pStyle w:val="Heading2"/>
        <w:spacing w:after="150" w:before="300"/>
      </w:pPr>
      <w:r>
        <w:t xml:space="preserve">2.1 Vue d'ensemble de l'architecture</w:t>
      </w:r>
    </w:p>
    <w:p>
      <w:pPr>
        <w:spacing w:after="60" w:before="60"/>
      </w:pPr>
      <w:r>
        <w:rPr>
          <w:rFonts w:ascii="Arial" w:cs="Arial" w:eastAsia="Arial" w:hAnsi="Arial"/>
          <w:sz w:val="22"/>
          <w:szCs w:val="22"/>
        </w:rPr>
        <w:t xml:space="preserve">Le système suit une architecture en couches découplées, séparant clairement le frontend (interface utilisateur) du backend (logique métier et API). Cette approche facilite la maintenance, les évolutions et la scalabilité.</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563EB" w:sz="4"/>
              <w:left w:val="thick" w:color="2563EB" w:sz="12"/>
              <w:bottom w:val="single" w:color="2563EB" w:sz="4"/>
              <w:right w:val="single" w:color="2563EB" w:sz="1"/>
            </w:tcBorders>
            <w:shd w:fill="EFF6FF"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Architecture : SPA (Single Page Application) + API REST</w:t>
            </w:r>
          </w:p>
          <w:p>
            <w:pPr>
              <w:spacing w:after="40" w:before="40"/>
            </w:pPr>
            <w:r>
              <w:rPr>
                <w:rFonts w:ascii="Arial" w:cs="Arial" w:eastAsia="Arial" w:hAnsi="Arial"/>
                <w:color w:val="1F2937"/>
                <w:sz w:val="20"/>
                <w:szCs w:val="20"/>
              </w:rPr>
              <w:t xml:space="preserve">Pattern : Frontend découplé → API Laravel → Base de données MySQL</w:t>
            </w:r>
          </w:p>
          <w:p>
            <w:pPr>
              <w:spacing w:after="40" w:before="40"/>
            </w:pPr>
            <w:r>
              <w:rPr>
                <w:rFonts w:ascii="Arial" w:cs="Arial" w:eastAsia="Arial" w:hAnsi="Arial"/>
                <w:color w:val="1F2937"/>
                <w:sz w:val="20"/>
                <w:szCs w:val="20"/>
              </w:rPr>
              <w:t xml:space="preserve">Communication : HTTP/HTTPS avec tokens Bearer (Sanctum)</w:t>
            </w:r>
          </w:p>
          <w:p>
            <w:pPr>
              <w:spacing w:after="40" w:before="40"/>
            </w:pPr>
            <w:r>
              <w:rPr>
                <w:rFonts w:ascii="Arial" w:cs="Arial" w:eastAsia="Arial" w:hAnsi="Arial"/>
                <w:color w:val="1F2937"/>
                <w:sz w:val="20"/>
                <w:szCs w:val="20"/>
              </w:rPr>
              <w:t xml:space="preserve">Environnement : Docker Compose (développement) | VPS Ubuntu + Nginx (production)</w:t>
            </w:r>
          </w:p>
        </w:tc>
      </w:tr>
    </w:tbl>
    <w:p>
      <w:pPr>
        <w:spacing w:after="0" w:before="120"/>
      </w:pPr>
    </w:p>
    <w:p>
      <w:pPr>
        <w:pStyle w:val="Heading2"/>
        <w:spacing w:after="150" w:before="300"/>
      </w:pPr>
      <w:r>
        <w:t xml:space="preserve">2.2 Stack technologique</w:t>
      </w:r>
    </w:p>
    <w:p>
      <w:pPr>
        <w:pStyle w:val="Heading3"/>
        <w:spacing w:after="120" w:before="240"/>
      </w:pPr>
      <w:r>
        <w:t xml:space="preserve">2.2.1 Frontend (Interface utilisateur)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Technologie</w:t>
            </w:r>
          </w:p>
        </w:tc>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Version</w:t>
            </w:r>
          </w:p>
        </w:tc>
        <w:tc>
          <w:tcPr>
            <w:tcW w:type="dxa" w:w="45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Usage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Vue.js</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3.x (Composition API)</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Framework JavaScript principal</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TypeScript</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5.x</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Typage statique, qualité du code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Vite</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5.x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Build tool, serveur de développement</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Tailwind CSS</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3.4+</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Framework CSS utilitaire (design ANaTT)</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Pinia</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Gestion de l'état global (stores)</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Vue Router</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4.x</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Navigation SPA avec guards d'auth</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Axios</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Client HTTP avec intercepteurs</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Chart.js</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4.x</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Graphiques et visualisations</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VuePDF</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latest</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Aperçu des PDF in-browser</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Vitest</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latest</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Tests unitaires et d'intégration</w:t>
            </w:r>
          </w:p>
        </w:tc>
      </w:tr>
    </w:tbl>
    <w:p>
      <w:pPr>
        <w:spacing w:after="0" w:before="120"/>
      </w:pPr>
    </w:p>
    <w:p>
      <w:pPr>
        <w:pStyle w:val="Heading3"/>
        <w:spacing w:after="120" w:before="240"/>
      </w:pPr>
      <w:r>
        <w:t xml:space="preserve">2.2.2 Backend (API et logique métier)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Technologie</w:t>
            </w:r>
          </w:p>
        </w:tc>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Version</w:t>
            </w:r>
          </w:p>
        </w:tc>
        <w:tc>
          <w:tcPr>
            <w:tcW w:type="dxa" w:w="45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Usage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Laravel</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11.x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Framework PHP principal</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PHP</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8.3+</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Langage backend</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Laravel Sanctum</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3.x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Authentification API (tokens SPA)</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MySQL</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8.0</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Base de données principale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Redis</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7.x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Cache, files de travaux (queues)</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DomPDF (Laravel)</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latest</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Génération de documents PDF</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Maatwebsite Excel</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Export Excel, import CSV agents</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Laravel Telescope</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latest</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Debugging et monitoring (dev)</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Pest PHP</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2.x</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Tests BDD et PHPUnit</w:t>
            </w:r>
          </w:p>
        </w:tc>
      </w:tr>
    </w:tbl>
    <w:p>
      <w:pPr>
        <w:spacing w:after="0" w:before="120"/>
      </w:pPr>
    </w:p>
    <w:p>
      <w:pPr>
        <w:pStyle w:val="Heading2"/>
        <w:spacing w:after="150" w:before="300"/>
      </w:pPr>
      <w:r>
        <w:t xml:space="preserve">2.3 Structure du projet</w:t>
      </w:r>
    </w:p>
    <w:p>
      <w:pPr>
        <w:spacing w:after="60" w:before="60"/>
      </w:pPr>
      <w:r>
        <w:rPr>
          <w:rFonts w:ascii="Arial" w:cs="Arial" w:eastAsia="Arial" w:hAnsi="Arial"/>
          <w:sz w:val="22"/>
          <w:szCs w:val="22"/>
        </w:rPr>
        <w:t xml:space="preserve">Le projet est organisé en deux dossiers principaux :</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4"/>
              <w:left w:val="thick" w:color="9CA3AF" w:sz="12"/>
              <w:bottom w:val="single" w:color="9CA3AF" w:sz="4"/>
              <w:right w:val="single" w:color="9CA3AF" w:sz="1"/>
            </w:tcBorders>
            <w:shd w:fill="F9FAFB"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anatt-ordre-mission/</w:t>
            </w:r>
          </w:p>
          <w:p>
            <w:pPr>
              <w:spacing w:after="40" w:before="40"/>
            </w:pPr>
            <w:r>
              <w:rPr>
                <w:rFonts w:ascii="Arial" w:cs="Arial" w:eastAsia="Arial" w:hAnsi="Arial"/>
                <w:color w:val="1F2937"/>
                <w:sz w:val="20"/>
                <w:szCs w:val="20"/>
              </w:rPr>
              <w:t xml:space="preserve">  ├─ frontend/          → Application Vue 3 (41 écrans)</w:t>
            </w:r>
          </w:p>
          <w:p>
            <w:pPr>
              <w:spacing w:after="40" w:before="40"/>
            </w:pPr>
            <w:r>
              <w:rPr>
                <w:rFonts w:ascii="Arial" w:cs="Arial" w:eastAsia="Arial" w:hAnsi="Arial"/>
                <w:color w:val="1F2937"/>
                <w:sz w:val="20"/>
                <w:szCs w:val="20"/>
              </w:rPr>
              <w:t xml:space="preserve">  │    ├─ src/views/    → Pages par module (auth/, missions/, paiements/...)</w:t>
            </w:r>
          </w:p>
          <w:p>
            <w:pPr>
              <w:spacing w:after="40" w:before="40"/>
            </w:pPr>
            <w:r>
              <w:rPr>
                <w:rFonts w:ascii="Arial" w:cs="Arial" w:eastAsia="Arial" w:hAnsi="Arial"/>
                <w:color w:val="1F2937"/>
                <w:sz w:val="20"/>
                <w:szCs w:val="20"/>
              </w:rPr>
              <w:t xml:space="preserve">  │    ├─ src/components/shared/  → Composants réutilisables</w:t>
            </w:r>
          </w:p>
          <w:p>
            <w:pPr>
              <w:spacing w:after="40" w:before="40"/>
            </w:pPr>
            <w:r>
              <w:rPr>
                <w:rFonts w:ascii="Arial" w:cs="Arial" w:eastAsia="Arial" w:hAnsi="Arial"/>
                <w:color w:val="1F2937"/>
                <w:sz w:val="20"/>
                <w:szCs w:val="20"/>
              </w:rPr>
              <w:t xml:space="preserve">  │    ├─ src/stores/   → Pinia stores (auth, missions, notifications)</w:t>
            </w:r>
          </w:p>
          <w:p>
            <w:pPr>
              <w:spacing w:after="40" w:before="40"/>
            </w:pPr>
            <w:r>
              <w:rPr>
                <w:rFonts w:ascii="Arial" w:cs="Arial" w:eastAsia="Arial" w:hAnsi="Arial"/>
                <w:color w:val="1F2937"/>
                <w:sz w:val="20"/>
                <w:szCs w:val="20"/>
              </w:rPr>
              <w:t xml:space="preserve">  │    └─ src/composables/ → Logique réutilisable (useApi, useMissions...)</w:t>
            </w:r>
          </w:p>
          <w:p>
            <w:pPr>
              <w:spacing w:after="40" w:before="40"/>
            </w:pPr>
            <w:r>
              <w:rPr>
                <w:rFonts w:ascii="Arial" w:cs="Arial" w:eastAsia="Arial" w:hAnsi="Arial"/>
                <w:color w:val="1F2937"/>
                <w:sz w:val="20"/>
                <w:szCs w:val="20"/>
              </w:rPr>
              <w:t xml:space="preserve">  ├─ backend/           → API Laravel 11</w:t>
            </w:r>
          </w:p>
          <w:p>
            <w:pPr>
              <w:spacing w:after="40" w:before="40"/>
            </w:pPr>
            <w:r>
              <w:rPr>
                <w:rFonts w:ascii="Arial" w:cs="Arial" w:eastAsia="Arial" w:hAnsi="Arial"/>
                <w:color w:val="1F2937"/>
                <w:sz w:val="20"/>
                <w:szCs w:val="20"/>
              </w:rPr>
              <w:t xml:space="preserve">  │    ├─ app/Http/Controllers/Api/ → Contrôleurs REST</w:t>
            </w:r>
          </w:p>
          <w:p>
            <w:pPr>
              <w:spacing w:after="40" w:before="40"/>
            </w:pPr>
            <w:r>
              <w:rPr>
                <w:rFonts w:ascii="Arial" w:cs="Arial" w:eastAsia="Arial" w:hAnsi="Arial"/>
                <w:color w:val="1F2937"/>
                <w:sz w:val="20"/>
                <w:szCs w:val="20"/>
              </w:rPr>
              <w:t xml:space="preserve">  │    ├─ app/Models/   → Modèles Eloquent</w:t>
            </w:r>
          </w:p>
          <w:p>
            <w:pPr>
              <w:spacing w:after="40" w:before="40"/>
            </w:pPr>
            <w:r>
              <w:rPr>
                <w:rFonts w:ascii="Arial" w:cs="Arial" w:eastAsia="Arial" w:hAnsi="Arial"/>
                <w:color w:val="1F2937"/>
                <w:sz w:val="20"/>
                <w:szCs w:val="20"/>
              </w:rPr>
              <w:t xml:space="preserve">  │    ├─ app/Services/ → Logique métier découplée</w:t>
            </w:r>
          </w:p>
          <w:p>
            <w:pPr>
              <w:spacing w:after="40" w:before="40"/>
            </w:pPr>
            <w:r>
              <w:rPr>
                <w:rFonts w:ascii="Arial" w:cs="Arial" w:eastAsia="Arial" w:hAnsi="Arial"/>
                <w:color w:val="1F2937"/>
                <w:sz w:val="20"/>
                <w:szCs w:val="20"/>
              </w:rPr>
              <w:t xml:space="preserve">  │    └─ app/Jobs/     → Tâches asynchrones (paiements, PDF...)</w:t>
            </w:r>
          </w:p>
          <w:p>
            <w:pPr>
              <w:spacing w:after="40" w:before="40"/>
            </w:pPr>
            <w:r>
              <w:rPr>
                <w:rFonts w:ascii="Arial" w:cs="Arial" w:eastAsia="Arial" w:hAnsi="Arial"/>
                <w:color w:val="1F2937"/>
                <w:sz w:val="20"/>
                <w:szCs w:val="20"/>
              </w:rPr>
              <w:t xml:space="preserve">  ├─ CLAUDE.md          → Contexte projet pour Claude Code</w:t>
            </w:r>
          </w:p>
          <w:p>
            <w:pPr>
              <w:spacing w:after="40" w:before="40"/>
            </w:pPr>
            <w:r>
              <w:rPr>
                <w:rFonts w:ascii="Arial" w:cs="Arial" w:eastAsia="Arial" w:hAnsi="Arial"/>
                <w:color w:val="1F2937"/>
                <w:sz w:val="20"/>
                <w:szCs w:val="20"/>
              </w:rPr>
              <w:t xml:space="preserve">  └─ docker-compose.yml → Orchestration conteneurs</w:t>
            </w:r>
          </w:p>
        </w:tc>
      </w:tr>
    </w:tbl>
    <w:p>
      <w:pPr>
        <w:spacing w:after="0" w:before="120"/>
      </w:pPr>
    </w:p>
    <w:p>
      <w:pPr>
        <w:pStyle w:val="Heading2"/>
        <w:spacing w:after="150" w:before="300"/>
      </w:pPr>
      <w:r>
        <w:t xml:space="preserve">2.4 Modèles de données</w:t>
      </w:r>
    </w:p>
    <w:p>
      <w:pPr>
        <w:pStyle w:val="Heading3"/>
        <w:spacing w:after="120" w:before="240"/>
      </w:pPr>
      <w:r>
        <w:t xml:space="preserve">2.4.1 Entités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Entité</w:t>
            </w:r>
          </w:p>
        </w:tc>
        <w:tc>
          <w:tcPr>
            <w:tcW w:type="dxa" w:w="2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Table SQL</w:t>
            </w:r>
          </w:p>
        </w:tc>
        <w:tc>
          <w:tcPr>
            <w:tcW w:type="dxa" w:w="48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User</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users</w:t>
            </w:r>
          </w:p>
        </w:tc>
        <w:tc>
          <w:tcPr>
            <w:tcW w:type="dxa" w:w="4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Compte de connexion (email, password, rôle)</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Agent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agents</w:t>
            </w:r>
          </w:p>
        </w:tc>
        <w:tc>
          <w:tcPr>
            <w:tcW w:type="dxa" w:w="48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Profil complet agent (matricule, catégorie, numéros Mobile Money)</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OrdreMission</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ordres_mission</w:t>
            </w:r>
          </w:p>
        </w:tc>
        <w:tc>
          <w:tcPr>
            <w:tcW w:type="dxa" w:w="4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Ordre de mission avec statut et montants calculés</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Mission</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missions</w:t>
            </w:r>
          </w:p>
        </w:tc>
        <w:tc>
          <w:tcPr>
            <w:tcW w:type="dxa" w:w="48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Détail des étapes d'une mission</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TauxPerDiem</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taux_per_diem</w:t>
            </w:r>
          </w:p>
        </w:tc>
        <w:tc>
          <w:tcPr>
            <w:tcW w:type="dxa" w:w="4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Barème annuel par catégorie et destination</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Paiement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paiements</w:t>
            </w:r>
          </w:p>
        </w:tc>
        <w:tc>
          <w:tcPr>
            <w:tcW w:type="dxa" w:w="48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Enregistrement des virements Mobile Money</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AuditLog</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audit_logs</w:t>
            </w:r>
          </w:p>
        </w:tc>
        <w:tc>
          <w:tcPr>
            <w:tcW w:type="dxa" w:w="4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Journal horodaté de toutes les actions</w:t>
            </w:r>
          </w:p>
        </w:tc>
      </w:tr>
    </w:tbl>
    <w:p>
      <w:pPr>
        <w:spacing w:after="0" w:before="120"/>
      </w:pPr>
    </w:p>
    <w:p>
      <w:pPr>
        <w:pStyle w:val="Heading3"/>
        <w:spacing w:after="120" w:before="240"/>
      </w:pPr>
      <w:r>
        <w:t xml:space="preserve">2.4.2 Champs clés — OrdreMission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800"/>
        <w:gridCol w:w="2926"/>
      </w:tblGrid>
      <w:tr>
        <w:trPr>
          <w:tblHeader/>
        </w:trPr>
        <w:tc>
          <w:tcPr>
            <w:tcW w:type="dxa" w:w="18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Champ</w:t>
            </w:r>
          </w:p>
        </w:tc>
        <w:tc>
          <w:tcPr>
            <w:tcW w:type="dxa" w:w="1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Type</w:t>
            </w:r>
          </w:p>
        </w:tc>
        <w:tc>
          <w:tcPr>
            <w:tcW w:type="dxa" w:w="28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Valeurs possibles</w:t>
            </w:r>
          </w:p>
        </w:tc>
        <w:tc>
          <w:tcPr>
            <w:tcW w:type="dxa" w:w="29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1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numero</w:t>
            </w:r>
          </w:p>
        </w:tc>
        <w:tc>
          <w:tcPr>
            <w:tcW w:type="dxa" w:w="1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VARCHAR(20)</w:t>
            </w:r>
          </w:p>
        </w:tc>
        <w:tc>
          <w:tcPr>
            <w:tcW w:type="dxa" w:w="2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OM-2026-0001</w:t>
            </w:r>
          </w:p>
        </w:tc>
        <w:tc>
          <w:tcPr>
            <w:tcW w:type="dxa" w:w="29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Numéro auto-généré</w:t>
            </w:r>
          </w:p>
        </w:tc>
      </w:tr>
      <w:tr>
        <w:tc>
          <w:tcPr>
            <w:tcW w:type="dxa" w:w="1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statut</w:t>
            </w:r>
          </w:p>
        </w:tc>
        <w:tc>
          <w:tcPr>
            <w:tcW w:type="dxa" w:w="1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ENUM</w:t>
            </w:r>
          </w:p>
        </w:tc>
        <w:tc>
          <w:tcPr>
            <w:tcW w:type="dxa" w:w="2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BROUILLON, SOUMIS, VALIDE_N1, APPROUVE_DG, PAYE, REJETE</w:t>
            </w:r>
          </w:p>
        </w:tc>
        <w:tc>
          <w:tcPr>
            <w:tcW w:type="dxa" w:w="29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État courant</w:t>
            </w:r>
          </w:p>
        </w:tc>
      </w:tr>
      <w:tr>
        <w:tc>
          <w:tcPr>
            <w:tcW w:type="dxa" w:w="1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nb_jours</w:t>
            </w:r>
          </w:p>
        </w:tc>
        <w:tc>
          <w:tcPr>
            <w:tcW w:type="dxa" w:w="1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INT</w:t>
            </w:r>
          </w:p>
        </w:tc>
        <w:tc>
          <w:tcPr>
            <w:tcW w:type="dxa" w:w="2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Calculé</w:t>
            </w:r>
          </w:p>
        </w:tc>
        <w:tc>
          <w:tcPr>
            <w:tcW w:type="dxa" w:w="29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Durée = date_retour - date_depart + 1</w:t>
            </w:r>
          </w:p>
        </w:tc>
      </w:tr>
      <w:tr>
        <w:tc>
          <w:tcPr>
            <w:tcW w:type="dxa" w:w="1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montant_per_diem</w:t>
            </w:r>
          </w:p>
        </w:tc>
        <w:tc>
          <w:tcPr>
            <w:tcW w:type="dxa" w:w="1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DECIMAL(12,2)</w:t>
            </w:r>
          </w:p>
        </w:tc>
        <w:tc>
          <w:tcPr>
            <w:tcW w:type="dxa" w:w="2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Calculé</w:t>
            </w:r>
          </w:p>
        </w:tc>
        <w:tc>
          <w:tcPr>
            <w:tcW w:type="dxa" w:w="29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nb_jours × taux journalier</w:t>
            </w:r>
          </w:p>
        </w:tc>
      </w:tr>
      <w:tr>
        <w:tc>
          <w:tcPr>
            <w:tcW w:type="dxa" w:w="1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operateur_paiement</w:t>
            </w:r>
          </w:p>
        </w:tc>
        <w:tc>
          <w:tcPr>
            <w:tcW w:type="dxa" w:w="1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ENUM</w:t>
            </w:r>
          </w:p>
        </w:tc>
        <w:tc>
          <w:tcPr>
            <w:tcW w:type="dxa" w:w="2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MOOV, MTN</w:t>
            </w:r>
          </w:p>
        </w:tc>
        <w:tc>
          <w:tcPr>
            <w:tcW w:type="dxa" w:w="29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Opérateur Mobile Money de l'agent</w:t>
            </w:r>
          </w:p>
        </w:tc>
      </w:tr>
    </w:tbl>
    <w:p>
      <w:r>
        <w:br w:type="page"/>
      </w:r>
    </w:p>
    <w:p>
      <w:pPr>
        <w:pStyle w:val="Heading1"/>
        <w:spacing w:after="200" w:before="400"/>
      </w:pPr>
      <w:r>
        <w:t xml:space="preserve">3. Description Fonctionnelle — Modules</w:t>
      </w:r>
    </w:p>
    <w:p>
      <w:pPr>
        <w:spacing w:after="60" w:before="60"/>
      </w:pPr>
      <w:r>
        <w:rPr>
          <w:rFonts w:ascii="Arial" w:cs="Arial" w:eastAsia="Arial" w:hAnsi="Arial"/>
          <w:sz w:val="22"/>
          <w:szCs w:val="22"/>
        </w:rPr>
        <w:t xml:space="preserve">L'application est organisée en 10 modules fonctionnels couvrant 41 écrans au total. Chaque module est accessible selon les permissions associées au rôle de l'utilisateur connecté.</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200"/>
        <w:gridCol w:w="3626"/>
      </w:tblGrid>
      <w:tr>
        <w:trPr>
          <w:tblHeader/>
        </w:trPr>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Module</w:t>
            </w:r>
          </w:p>
        </w:tc>
        <w:tc>
          <w:tcPr>
            <w:tcW w:type="dxa" w:w="1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Nb. écrans</w:t>
            </w:r>
          </w:p>
        </w:tc>
        <w:tc>
          <w:tcPr>
            <w:tcW w:type="dxa" w:w="2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Rôles concernés</w:t>
            </w:r>
          </w:p>
        </w:tc>
        <w:tc>
          <w:tcPr>
            <w:tcW w:type="dxa" w:w="36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3</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Tous</w:t>
            </w:r>
          </w:p>
        </w:tc>
        <w:tc>
          <w:tcPr>
            <w:tcW w:type="dxa" w:w="36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Connexion, mot de passe oublié, reset</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Dashboard</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1</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Tous (vues filtrées)</w:t>
            </w:r>
          </w:p>
        </w:tc>
        <w:tc>
          <w:tcPr>
            <w:tcW w:type="dxa" w:w="36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KPIs, graphiques, alertes, actions rapides</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Personnel</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6</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DRH, Admin</w:t>
            </w:r>
          </w:p>
        </w:tc>
        <w:tc>
          <w:tcPr>
            <w:tcW w:type="dxa" w:w="36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CRUD agents, import CSV, profils</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Ordres de Mission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8</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Tous</w:t>
            </w:r>
          </w:p>
        </w:tc>
        <w:tc>
          <w:tcPr>
            <w:tcW w:type="dxa" w:w="36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Création, suivi, validation, PDF</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Paiements</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6</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DRH, Admin</w:t>
            </w:r>
          </w:p>
        </w:tc>
        <w:tc>
          <w:tcPr>
            <w:tcW w:type="dxa" w:w="36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Génération fichiers Moov/MTN, réconciliation</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Taux Per Diem</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2</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DRH, Admin</w:t>
            </w:r>
          </w:p>
        </w:tc>
        <w:tc>
          <w:tcPr>
            <w:tcW w:type="dxa" w:w="36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Barème annuel des indemnités</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Rapports</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4</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DRH, Directeur</w:t>
            </w:r>
          </w:p>
        </w:tc>
        <w:tc>
          <w:tcPr>
            <w:tcW w:type="dxa" w:w="36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Statistiques, exports Excel/PDF</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Audit</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2</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Admin</w:t>
            </w:r>
          </w:p>
        </w:tc>
        <w:tc>
          <w:tcPr>
            <w:tcW w:type="dxa" w:w="36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Journal d'activité système</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Administration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5</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Admin</w:t>
            </w:r>
          </w:p>
        </w:tc>
        <w:tc>
          <w:tcPr>
            <w:tcW w:type="dxa" w:w="36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Utilisateurs, rôles, paramètres</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Pages système</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Système</w:t>
            </w:r>
          </w:p>
        </w:tc>
        <w:tc>
          <w:tcPr>
            <w:tcW w:type="dxa" w:w="36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404, 500, Maintenance, Accès refusé</w:t>
            </w:r>
          </w:p>
        </w:tc>
      </w:tr>
    </w:tbl>
    <w:p>
      <w:pPr>
        <w:spacing w:after="0" w:before="120"/>
      </w:pPr>
    </w:p>
    <w:p>
      <w:pPr>
        <w:pStyle w:val="Heading2"/>
        <w:spacing w:after="150" w:before="300"/>
      </w:pPr>
      <w:r>
        <w:t xml:space="preserve">3.1 Module Authentification</w:t>
      </w:r>
    </w:p>
    <w:p>
      <w:pPr>
        <w:spacing w:after="60" w:before="60"/>
      </w:pPr>
      <w:r>
        <w:rPr>
          <w:rFonts w:ascii="Arial" w:cs="Arial" w:eastAsia="Arial" w:hAnsi="Arial"/>
          <w:sz w:val="22"/>
          <w:szCs w:val="22"/>
        </w:rPr>
        <w:t xml:space="preserve">Ce module gère l'accès sécurisé à l'application. L'authentification repose sur des tokens Laravel Sanctum avec une durée de session de 8 heures. Après expiration, l'utilisateur est redirigé vers la page de connexion.</w:t>
      </w:r>
    </w:p>
    <w:p>
      <w:pPr>
        <w:spacing w:after="0" w:before="120"/>
      </w:pPr>
    </w:p>
    <w:p>
      <w:pPr>
        <w:pStyle w:val="ListParagraph"/>
        <w:numPr>
          <w:ilvl w:val="0"/>
          <w:numId w:val="2"/>
        </w:numPr>
        <w:spacing w:after="40" w:before="40"/>
      </w:pPr>
      <w:r>
        <w:rPr>
          <w:rFonts w:ascii="Arial" w:cs="Arial" w:eastAsia="Arial" w:hAnsi="Arial"/>
          <w:sz w:val="22"/>
          <w:szCs w:val="22"/>
        </w:rPr>
        <w:t xml:space="preserve">AUTH-01 — Page de connexion : Formulaire email/mot de passe, option "Se souvenir de moi"</w:t>
      </w:r>
    </w:p>
    <w:p>
      <w:pPr>
        <w:pStyle w:val="ListParagraph"/>
        <w:numPr>
          <w:ilvl w:val="0"/>
          <w:numId w:val="2"/>
        </w:numPr>
        <w:spacing w:after="40" w:before="40"/>
      </w:pPr>
      <w:r>
        <w:rPr>
          <w:rFonts w:ascii="Arial" w:cs="Arial" w:eastAsia="Arial" w:hAnsi="Arial"/>
          <w:sz w:val="22"/>
          <w:szCs w:val="22"/>
        </w:rPr>
        <w:t xml:space="preserve">AUTH-02 — Mot de passe oublié : Saisie de l'email, envoi d'un lien de réinitialisation</w:t>
      </w:r>
    </w:p>
    <w:p>
      <w:pPr>
        <w:pStyle w:val="ListParagraph"/>
        <w:numPr>
          <w:ilvl w:val="0"/>
          <w:numId w:val="2"/>
        </w:numPr>
        <w:spacing w:after="40" w:before="40"/>
      </w:pPr>
      <w:r>
        <w:rPr>
          <w:rFonts w:ascii="Arial" w:cs="Arial" w:eastAsia="Arial" w:hAnsi="Arial"/>
          <w:sz w:val="22"/>
          <w:szCs w:val="22"/>
        </w:rPr>
        <w:t xml:space="preserve">AUTH-03 — Réinitialisation : Nouveau mot de passe avec confirmation et token de sécurité</w:t>
      </w:r>
    </w:p>
    <w:p>
      <w:pPr>
        <w:spacing w:after="0" w:before="120"/>
      </w:pPr>
    </w:p>
    <w:p>
      <w:pPr>
        <w:pStyle w:val="Heading2"/>
        <w:spacing w:after="150" w:before="300"/>
      </w:pPr>
      <w:r>
        <w:t xml:space="preserve">3.2 Module Dashboard</w:t>
      </w:r>
    </w:p>
    <w:p>
      <w:pPr>
        <w:spacing w:after="60" w:before="60"/>
      </w:pPr>
      <w:r>
        <w:rPr>
          <w:rFonts w:ascii="Arial" w:cs="Arial" w:eastAsia="Arial" w:hAnsi="Arial"/>
          <w:sz w:val="22"/>
          <w:szCs w:val="22"/>
        </w:rPr>
        <w:t xml:space="preserve">Le tableau de bord s'adapte dynamiquement selon le rôle de l'utilisateur connecté. Il affiche les indicateurs clés pertinents pour son niveau hiérarchique.</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400"/>
        <w:gridCol w:w="1000"/>
        <w:gridCol w:w="1026"/>
        <w:gridCol w:w="1200"/>
      </w:tblGrid>
      <w:tr>
        <w:trPr>
          <w:tblHeader/>
        </w:trPr>
        <w:tc>
          <w:tcPr>
            <w:tcW w:type="dxa" w:w="3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Indicateur</w:t>
            </w:r>
          </w:p>
        </w:tc>
        <w:tc>
          <w:tcPr>
            <w:tcW w:type="dxa" w:w="11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Agent</w:t>
            </w:r>
          </w:p>
        </w:tc>
        <w:tc>
          <w:tcPr>
            <w:tcW w:type="dxa" w:w="14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Chef service</w:t>
            </w:r>
          </w:p>
        </w:tc>
        <w:tc>
          <w:tcPr>
            <w:tcW w:type="dxa" w:w="1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DRH</w:t>
            </w:r>
          </w:p>
        </w:tc>
        <w:tc>
          <w:tcPr>
            <w:tcW w:type="dxa" w:w="10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Directeur</w:t>
            </w:r>
          </w:p>
        </w:tc>
      </w:tr>
      <w:tr>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Mes ordres en attente</w:t>
            </w:r>
          </w:p>
        </w:tc>
        <w:tc>
          <w:tcPr>
            <w:tcW w:type="dxa" w:w="11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r>
      <w:tr>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OM de mon service à valider</w:t>
            </w:r>
          </w:p>
        </w:tc>
        <w:tc>
          <w:tcPr>
            <w:tcW w:type="dxa" w:w="11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4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r>
      <w:tr>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OM en attente d'approbation DG</w:t>
            </w:r>
          </w:p>
        </w:tc>
        <w:tc>
          <w:tcPr>
            <w:tcW w:type="dxa" w:w="11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Paiements du mois en cours</w:t>
            </w:r>
          </w:p>
        </w:tc>
        <w:tc>
          <w:tcPr>
            <w:tcW w:type="dxa" w:w="11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4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Budget per diem consommé</w:t>
            </w:r>
          </w:p>
        </w:tc>
        <w:tc>
          <w:tcPr>
            <w:tcW w:type="dxa" w:w="11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Graphique missions par service</w:t>
            </w:r>
          </w:p>
        </w:tc>
        <w:tc>
          <w:tcPr>
            <w:tcW w:type="dxa" w:w="11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4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r>
    </w:tbl>
    <w:p>
      <w:pPr>
        <w:spacing w:after="0" w:before="120"/>
      </w:pPr>
    </w:p>
    <w:p>
      <w:pPr>
        <w:pStyle w:val="Heading2"/>
        <w:spacing w:after="150" w:before="300"/>
      </w:pPr>
      <w:r>
        <w:t xml:space="preserve">3.3 Module Personnel</w:t>
      </w:r>
    </w:p>
    <w:p>
      <w:pPr>
        <w:spacing w:after="60" w:before="60"/>
      </w:pPr>
      <w:r>
        <w:rPr>
          <w:rFonts w:ascii="Arial" w:cs="Arial" w:eastAsia="Arial" w:hAnsi="Arial"/>
          <w:sz w:val="22"/>
          <w:szCs w:val="22"/>
        </w:rPr>
        <w:t xml:space="preserve">Ce module permet la gestion complète du répertoire des agents. Il est accessible aux profils DRH et Administrateur.</w:t>
      </w:r>
    </w:p>
    <w:p>
      <w:pPr>
        <w:pStyle w:val="ListParagraph"/>
        <w:numPr>
          <w:ilvl w:val="0"/>
          <w:numId w:val="2"/>
        </w:numPr>
        <w:spacing w:after="40" w:before="40"/>
      </w:pPr>
      <w:r>
        <w:rPr>
          <w:rFonts w:ascii="Arial" w:cs="Arial" w:eastAsia="Arial" w:hAnsi="Arial"/>
          <w:sz w:val="22"/>
          <w:szCs w:val="22"/>
        </w:rPr>
        <w:t xml:space="preserve">PERS-01 — Liste agents : Tableau paginé avec recherche par nom/matricule, filtre par service et catégorie</w:t>
      </w:r>
    </w:p>
    <w:p>
      <w:pPr>
        <w:pStyle w:val="ListParagraph"/>
        <w:numPr>
          <w:ilvl w:val="0"/>
          <w:numId w:val="2"/>
        </w:numPr>
        <w:spacing w:after="40" w:before="40"/>
      </w:pPr>
      <w:r>
        <w:rPr>
          <w:rFonts w:ascii="Arial" w:cs="Arial" w:eastAsia="Arial" w:hAnsi="Arial"/>
          <w:sz w:val="22"/>
          <w:szCs w:val="22"/>
        </w:rPr>
        <w:t xml:space="preserve">PERS-02 — Fiche agent : Informations complètes + historique de toutes ses missions + statistiques per diem</w:t>
      </w:r>
    </w:p>
    <w:p>
      <w:pPr>
        <w:pStyle w:val="ListParagraph"/>
        <w:numPr>
          <w:ilvl w:val="0"/>
          <w:numId w:val="2"/>
        </w:numPr>
        <w:spacing w:after="40" w:before="40"/>
      </w:pPr>
      <w:r>
        <w:rPr>
          <w:rFonts w:ascii="Arial" w:cs="Arial" w:eastAsia="Arial" w:hAnsi="Arial"/>
          <w:sz w:val="22"/>
          <w:szCs w:val="22"/>
        </w:rPr>
        <w:t xml:space="preserve">PERS-03 — Créer agent : Formulaire multi-étapes (infos perso → contact → Mobile Money → catégorie)</w:t>
      </w:r>
    </w:p>
    <w:p>
      <w:pPr>
        <w:pStyle w:val="ListParagraph"/>
        <w:numPr>
          <w:ilvl w:val="0"/>
          <w:numId w:val="2"/>
        </w:numPr>
        <w:spacing w:after="40" w:before="40"/>
      </w:pPr>
      <w:r>
        <w:rPr>
          <w:rFonts w:ascii="Arial" w:cs="Arial" w:eastAsia="Arial" w:hAnsi="Arial"/>
          <w:sz w:val="22"/>
          <w:szCs w:val="22"/>
        </w:rPr>
        <w:t xml:space="preserve">PERS-04 — Modifier agent : Mise à jour des informations, désactivation du compte</w:t>
      </w:r>
    </w:p>
    <w:p>
      <w:pPr>
        <w:pStyle w:val="ListParagraph"/>
        <w:numPr>
          <w:ilvl w:val="0"/>
          <w:numId w:val="2"/>
        </w:numPr>
        <w:spacing w:after="40" w:before="40"/>
      </w:pPr>
      <w:r>
        <w:rPr>
          <w:rFonts w:ascii="Arial" w:cs="Arial" w:eastAsia="Arial" w:hAnsi="Arial"/>
          <w:sz w:val="22"/>
          <w:szCs w:val="22"/>
        </w:rPr>
        <w:t xml:space="preserve">PERS-05 — Mon profil : Vue auto-service pour l'agent (lecture seule sauf numéro Mobile Money)</w:t>
      </w:r>
    </w:p>
    <w:p>
      <w:pPr>
        <w:pStyle w:val="ListParagraph"/>
        <w:numPr>
          <w:ilvl w:val="0"/>
          <w:numId w:val="2"/>
        </w:numPr>
        <w:spacing w:after="40" w:before="40"/>
      </w:pPr>
      <w:r>
        <w:rPr>
          <w:rFonts w:ascii="Arial" w:cs="Arial" w:eastAsia="Arial" w:hAnsi="Arial"/>
          <w:sz w:val="22"/>
          <w:szCs w:val="22"/>
        </w:rPr>
        <w:t xml:space="preserve">PERS-06 — Import CSV : Upload fichier CSV, prévisualisation des données, validation avant import</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4A843" w:sz="4"/>
              <w:left w:val="thick" w:color="D4A843" w:sz="12"/>
              <w:bottom w:val="single" w:color="D4A843" w:sz="4"/>
              <w:right w:val="single" w:color="D4A843" w:sz="1"/>
            </w:tcBorders>
            <w:shd w:fill="FBF3E0"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Important : Les numéros de téléphone Mobile Money (Moov et MTN) sont obligatoires pour générer les fichiers de paiement. Un agent sans numéro enregistré ne peut pas être inclus dans un virement.</w:t>
            </w:r>
          </w:p>
        </w:tc>
      </w:tr>
    </w:tbl>
    <w:p>
      <w:pPr>
        <w:spacing w:after="0" w:before="120"/>
      </w:pPr>
    </w:p>
    <w:p>
      <w:pPr>
        <w:pStyle w:val="Heading2"/>
        <w:spacing w:after="150" w:before="300"/>
      </w:pPr>
      <w:r>
        <w:t xml:space="preserve">3.4 Module Ordres de Mission</w:t>
      </w:r>
    </w:p>
    <w:p>
      <w:pPr>
        <w:spacing w:after="60" w:before="60"/>
      </w:pPr>
      <w:r>
        <w:rPr>
          <w:rFonts w:ascii="Arial" w:cs="Arial" w:eastAsia="Arial" w:hAnsi="Arial"/>
          <w:sz w:val="22"/>
          <w:szCs w:val="22"/>
        </w:rPr>
        <w:t xml:space="preserve">C'est le cœur du système. Ce module couvre l'intégralité du cycle de vie d'un ordre de mission, de sa création à son archivage après paiement.</w:t>
      </w:r>
    </w:p>
    <w:p>
      <w:pPr>
        <w:spacing w:after="0" w:before="120"/>
      </w:pPr>
    </w:p>
    <w:p>
      <w:pPr>
        <w:pStyle w:val="ListParagraph"/>
        <w:numPr>
          <w:ilvl w:val="0"/>
          <w:numId w:val="2"/>
        </w:numPr>
        <w:spacing w:after="40" w:before="40"/>
      </w:pPr>
      <w:r>
        <w:rPr>
          <w:rFonts w:ascii="Arial" w:cs="Arial" w:eastAsia="Arial" w:hAnsi="Arial"/>
          <w:sz w:val="22"/>
          <w:szCs w:val="22"/>
        </w:rPr>
        <w:t xml:space="preserve">OM-01 — Liste ordres : Tableau avec filtres (statut, agent, service, période), tri, export</w:t>
      </w:r>
    </w:p>
    <w:p>
      <w:pPr>
        <w:pStyle w:val="ListParagraph"/>
        <w:numPr>
          <w:ilvl w:val="0"/>
          <w:numId w:val="2"/>
        </w:numPr>
        <w:spacing w:after="40" w:before="40"/>
      </w:pPr>
      <w:r>
        <w:rPr>
          <w:rFonts w:ascii="Arial" w:cs="Arial" w:eastAsia="Arial" w:hAnsi="Arial"/>
          <w:sz w:val="22"/>
          <w:szCs w:val="22"/>
        </w:rPr>
        <w:t xml:space="preserve">OM-02 — Créer ordre : Sélection agent, destination, dates, motif de mission, calcul automatique montant</w:t>
      </w:r>
    </w:p>
    <w:p>
      <w:pPr>
        <w:pStyle w:val="ListParagraph"/>
        <w:numPr>
          <w:ilvl w:val="0"/>
          <w:numId w:val="2"/>
        </w:numPr>
        <w:spacing w:after="40" w:before="40"/>
      </w:pPr>
      <w:r>
        <w:rPr>
          <w:rFonts w:ascii="Arial" w:cs="Arial" w:eastAsia="Arial" w:hAnsi="Arial"/>
          <w:sz w:val="22"/>
          <w:szCs w:val="22"/>
        </w:rPr>
        <w:t xml:space="preserve">OM-03 — Détail ordre : Vue complète avec timeline du statut, documents joints, historique actions</w:t>
      </w:r>
    </w:p>
    <w:p>
      <w:pPr>
        <w:pStyle w:val="ListParagraph"/>
        <w:numPr>
          <w:ilvl w:val="0"/>
          <w:numId w:val="2"/>
        </w:numPr>
        <w:spacing w:after="40" w:before="40"/>
      </w:pPr>
      <w:r>
        <w:rPr>
          <w:rFonts w:ascii="Arial" w:cs="Arial" w:eastAsia="Arial" w:hAnsi="Arial"/>
          <w:sz w:val="22"/>
          <w:szCs w:val="22"/>
        </w:rPr>
        <w:t xml:space="preserve">OM-04 — Modifier ordre : Modification uniquement si statut BROUILLON</w:t>
      </w:r>
    </w:p>
    <w:p>
      <w:pPr>
        <w:pStyle w:val="ListParagraph"/>
        <w:numPr>
          <w:ilvl w:val="0"/>
          <w:numId w:val="2"/>
        </w:numPr>
        <w:spacing w:after="40" w:before="40"/>
      </w:pPr>
      <w:r>
        <w:rPr>
          <w:rFonts w:ascii="Arial" w:cs="Arial" w:eastAsia="Arial" w:hAnsi="Arial"/>
          <w:sz w:val="22"/>
          <w:szCs w:val="22"/>
        </w:rPr>
        <w:t xml:space="preserve">OM-05 — Validation N+1 : Interface dédiée chef de service (approuver ou rejeter avec commentaire)</w:t>
      </w:r>
    </w:p>
    <w:p>
      <w:pPr>
        <w:pStyle w:val="ListParagraph"/>
        <w:numPr>
          <w:ilvl w:val="0"/>
          <w:numId w:val="2"/>
        </w:numPr>
        <w:spacing w:after="40" w:before="40"/>
      </w:pPr>
      <w:r>
        <w:rPr>
          <w:rFonts w:ascii="Arial" w:cs="Arial" w:eastAsia="Arial" w:hAnsi="Arial"/>
          <w:sz w:val="22"/>
          <w:szCs w:val="22"/>
        </w:rPr>
        <w:t xml:space="preserve">OM-06 — Validation DG : Interface approbation finale directeur général</w:t>
      </w:r>
    </w:p>
    <w:p>
      <w:pPr>
        <w:pStyle w:val="ListParagraph"/>
        <w:numPr>
          <w:ilvl w:val="0"/>
          <w:numId w:val="2"/>
        </w:numPr>
        <w:spacing w:after="40" w:before="40"/>
      </w:pPr>
      <w:r>
        <w:rPr>
          <w:rFonts w:ascii="Arial" w:cs="Arial" w:eastAsia="Arial" w:hAnsi="Arial"/>
          <w:sz w:val="22"/>
          <w:szCs w:val="22"/>
        </w:rPr>
        <w:t xml:space="preserve">OM-07 — Aperçu PDF : Visualisation du document officiel avant téléchargement/impression</w:t>
      </w:r>
    </w:p>
    <w:p>
      <w:pPr>
        <w:pStyle w:val="ListParagraph"/>
        <w:numPr>
          <w:ilvl w:val="0"/>
          <w:numId w:val="2"/>
        </w:numPr>
        <w:spacing w:after="40" w:before="40"/>
      </w:pPr>
      <w:r>
        <w:rPr>
          <w:rFonts w:ascii="Arial" w:cs="Arial" w:eastAsia="Arial" w:hAnsi="Arial"/>
          <w:sz w:val="22"/>
          <w:szCs w:val="22"/>
        </w:rPr>
        <w:t xml:space="preserve">OM-08 — Historique : Journal complet de toutes les actions horodatées sur l'OM</w:t>
      </w:r>
    </w:p>
    <w:p>
      <w:r>
        <w:br w:type="page"/>
      </w:r>
    </w:p>
    <w:p>
      <w:pPr>
        <w:pStyle w:val="Heading2"/>
        <w:spacing w:after="150" w:before="300"/>
      </w:pPr>
      <w:r>
        <w:t xml:space="preserve">3.5 Module Paiements</w:t>
      </w:r>
    </w:p>
    <w:p>
      <w:pPr>
        <w:spacing w:after="60" w:before="60"/>
      </w:pPr>
      <w:r>
        <w:rPr>
          <w:rFonts w:ascii="Arial" w:cs="Arial" w:eastAsia="Arial" w:hAnsi="Arial"/>
          <w:sz w:val="22"/>
          <w:szCs w:val="22"/>
        </w:rPr>
        <w:t xml:space="preserve">Ce module gère la génération des fichiers de virement Mobile Money et le suivi des paiements. Il interface le SGOM avec les systèmes des opérateurs Moov Africa et MTN Bénin.</w:t>
      </w:r>
    </w:p>
    <w:p>
      <w:pPr>
        <w:spacing w:after="0" w:before="120"/>
      </w:pPr>
    </w:p>
    <w:p>
      <w:pPr>
        <w:pStyle w:val="ListParagraph"/>
        <w:numPr>
          <w:ilvl w:val="0"/>
          <w:numId w:val="2"/>
        </w:numPr>
        <w:spacing w:after="40" w:before="40"/>
      </w:pPr>
      <w:r>
        <w:rPr>
          <w:rFonts w:ascii="Arial" w:cs="Arial" w:eastAsia="Arial" w:hAnsi="Arial"/>
          <w:sz w:val="22"/>
          <w:szCs w:val="22"/>
        </w:rPr>
        <w:t xml:space="preserve">PAY-01 — Liste paiements : Tableau des paiements avec statuts opérateurs en temps réel</w:t>
      </w:r>
    </w:p>
    <w:p>
      <w:pPr>
        <w:pStyle w:val="ListParagraph"/>
        <w:numPr>
          <w:ilvl w:val="0"/>
          <w:numId w:val="2"/>
        </w:numPr>
        <w:spacing w:after="40" w:before="40"/>
      </w:pPr>
      <w:r>
        <w:rPr>
          <w:rFonts w:ascii="Arial" w:cs="Arial" w:eastAsia="Arial" w:hAnsi="Arial"/>
          <w:sz w:val="22"/>
          <w:szCs w:val="22"/>
        </w:rPr>
        <w:t xml:space="preserve">PAY-02 — Générer fichier Moov : Sélection des OM approuvés, calcul per diem, export CSV format Moov</w:t>
      </w:r>
    </w:p>
    <w:p>
      <w:pPr>
        <w:pStyle w:val="ListParagraph"/>
        <w:numPr>
          <w:ilvl w:val="0"/>
          <w:numId w:val="2"/>
        </w:numPr>
        <w:spacing w:after="40" w:before="40"/>
      </w:pPr>
      <w:r>
        <w:rPr>
          <w:rFonts w:ascii="Arial" w:cs="Arial" w:eastAsia="Arial" w:hAnsi="Arial"/>
          <w:sz w:val="22"/>
          <w:szCs w:val="22"/>
        </w:rPr>
        <w:t xml:space="preserve">PAY-03 — Générer fichier MTN : Sélection des OM approuvés, calcul per diem, export CSV format MTN</w:t>
      </w:r>
    </w:p>
    <w:p>
      <w:pPr>
        <w:pStyle w:val="ListParagraph"/>
        <w:numPr>
          <w:ilvl w:val="0"/>
          <w:numId w:val="2"/>
        </w:numPr>
        <w:spacing w:after="40" w:before="40"/>
      </w:pPr>
      <w:r>
        <w:rPr>
          <w:rFonts w:ascii="Arial" w:cs="Arial" w:eastAsia="Arial" w:hAnsi="Arial"/>
          <w:sz w:val="22"/>
          <w:szCs w:val="22"/>
        </w:rPr>
        <w:t xml:space="preserve">PAY-04 — Statuts paiements : Tableau de bord des retours de traitement des opérateurs</w:t>
      </w:r>
    </w:p>
    <w:p>
      <w:pPr>
        <w:pStyle w:val="ListParagraph"/>
        <w:numPr>
          <w:ilvl w:val="0"/>
          <w:numId w:val="2"/>
        </w:numPr>
        <w:spacing w:after="40" w:before="40"/>
      </w:pPr>
      <w:r>
        <w:rPr>
          <w:rFonts w:ascii="Arial" w:cs="Arial" w:eastAsia="Arial" w:hAnsi="Arial"/>
          <w:sz w:val="22"/>
          <w:szCs w:val="22"/>
        </w:rPr>
        <w:t xml:space="preserve">PAY-05 — Réconciliation : Import du fichier retour opérateur, rapprochement automatique</w:t>
      </w:r>
    </w:p>
    <w:p>
      <w:pPr>
        <w:pStyle w:val="ListParagraph"/>
        <w:numPr>
          <w:ilvl w:val="0"/>
          <w:numId w:val="2"/>
        </w:numPr>
        <w:spacing w:after="40" w:before="40"/>
      </w:pPr>
      <w:r>
        <w:rPr>
          <w:rFonts w:ascii="Arial" w:cs="Arial" w:eastAsia="Arial" w:hAnsi="Arial"/>
          <w:sz w:val="22"/>
          <w:szCs w:val="22"/>
        </w:rPr>
        <w:t xml:space="preserve">PAY-06 — Historique virements : Historique complet filtrable par opérateur, période, montant</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563EB" w:sz="4"/>
              <w:left w:val="thick" w:color="2563EB" w:sz="12"/>
              <w:bottom w:val="single" w:color="2563EB" w:sz="4"/>
              <w:right w:val="single" w:color="2563EB" w:sz="1"/>
            </w:tcBorders>
            <w:shd w:fill="EFF6FF"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Format CSV Moov Africa : NUMERO_TELEPHONE;MONTANT;REFERENCE;NOM_BENEFICIAIRE;MOTIF</w:t>
            </w:r>
          </w:p>
          <w:p>
            <w:pPr>
              <w:spacing w:after="40" w:before="40"/>
            </w:pPr>
            <w:r>
              <w:rPr>
                <w:rFonts w:ascii="Arial" w:cs="Arial" w:eastAsia="Arial" w:hAnsi="Arial"/>
                <w:color w:val="1F2937"/>
                <w:sz w:val="20"/>
                <w:szCs w:val="20"/>
              </w:rPr>
              <w:t xml:space="preserve">Format CSV MTN Bénin  : MSISDN;AMOUNT;EXTERNAL_REF;BENEFICIARY_NAME;NARRATION</w:t>
            </w:r>
          </w:p>
          <w:p>
            <w:pPr>
              <w:spacing w:after="40" w:before="40"/>
            </w:pPr>
            <w:r>
              <w:rPr>
                <w:rFonts w:ascii="Arial" w:cs="Arial" w:eastAsia="Arial" w:hAnsi="Arial"/>
                <w:color w:val="1F2937"/>
                <w:sz w:val="20"/>
                <w:szCs w:val="20"/>
              </w:rPr>
              <w:t xml:space="preserve">Référence utilisée : Numéro de l'ordre de mission (ex. OM-2026-0001)</w:t>
            </w:r>
          </w:p>
        </w:tc>
      </w:tr>
    </w:tbl>
    <w:p>
      <w:r>
        <w:br w:type="page"/>
      </w:r>
    </w:p>
    <w:p>
      <w:pPr>
        <w:pStyle w:val="Heading1"/>
        <w:spacing w:after="200" w:before="400"/>
      </w:pPr>
      <w:r>
        <w:t xml:space="preserve">4. Workflows Détaillés</w:t>
      </w:r>
    </w:p>
    <w:p>
      <w:pPr>
        <w:spacing w:after="60" w:before="60"/>
      </w:pPr>
      <w:r>
        <w:rPr>
          <w:rFonts w:ascii="Arial" w:cs="Arial" w:eastAsia="Arial" w:hAnsi="Arial"/>
          <w:sz w:val="22"/>
          <w:szCs w:val="22"/>
        </w:rPr>
        <w:t xml:space="preserve">Cette section décrit les processus métier complets de l'application. Chaque workflow est représenté par un tableau d'étapes séquentielles indiquant l'acteur, l'action et le résultat attendu.</w:t>
      </w:r>
    </w:p>
    <w:p>
      <w:pPr>
        <w:spacing w:after="0" w:before="120"/>
      </w:pPr>
    </w:p>
    <w:p>
      <w:pPr>
        <w:pStyle w:val="Heading2"/>
        <w:spacing w:after="150" w:before="300"/>
      </w:pPr>
      <w:r>
        <w:t xml:space="preserve">4.1 Workflow — Création et Soumission d'un Ordre de Mission</w:t>
      </w:r>
    </w:p>
    <w:p>
      <w:pPr>
        <w:spacing w:after="60" w:before="60"/>
      </w:pPr>
      <w:r>
        <w:rPr>
          <w:rFonts w:ascii="Arial" w:cs="Arial" w:eastAsia="Arial" w:hAnsi="Arial"/>
          <w:sz w:val="22"/>
          <w:szCs w:val="22"/>
        </w:rPr>
        <w:t xml:space="preserve">Ce workflow décrit comment un agent crée un ordre de mission et le soumet pour validation.</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Se connecte à l'application avec ses identifiants (email + mot de passe)</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Session ouverte — Token Sanctum généré</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Navigue vers « Ordres de Mission » → clique « Nouvel Ordre »</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Formulaire de création affiché</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Renseigne : destination, dates de départ/retour, objet de la mission, motif</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Calcul automatique du nb de jours et montant per diem</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Calcule automatiquement : nb_jours × taux_per_diem (selon catégorie agent)</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Montant total affiché en FCFA</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Serveur</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Vérifie les données et clique « Enregistrer en brouillon »</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OM créé, statut : BROUILLON, numéro OM-AAAA-XXXX assigné</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Révise si besoin, puis clique « Soumettre pour validation »</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Statut passe à SOUMIS, notification envoyée au chef de service</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 + Email</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7</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Notifie le chef de service par email avec lien direct vers l'OM</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Email reçu par le chef de service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w:t>
            </w:r>
          </w:p>
        </w:tc>
      </w:tr>
    </w:tbl>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9E4F" w:sz="4"/>
              <w:left w:val="thick" w:color="1D9E4F" w:sz="12"/>
              <w:bottom w:val="single" w:color="1D9E4F" w:sz="4"/>
              <w:right w:val="single" w:color="1D9E4F" w:sz="1"/>
            </w:tcBorders>
            <w:shd w:fill="EDFAF2"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Règle métier : Un OM en statut BROUILLON peut être modifié ou supprimé.</w:t>
            </w:r>
          </w:p>
          <w:p>
            <w:pPr>
              <w:spacing w:after="40" w:before="40"/>
            </w:pPr>
            <w:r>
              <w:rPr>
                <w:rFonts w:ascii="Arial" w:cs="Arial" w:eastAsia="Arial" w:hAnsi="Arial"/>
                <w:color w:val="1F2937"/>
                <w:sz w:val="20"/>
                <w:szCs w:val="20"/>
              </w:rPr>
              <w:t xml:space="preserve">Règle métier : Un OM en statut SOUMIS ne peut plus être modifié par l'agent.</w:t>
            </w:r>
          </w:p>
          <w:p>
            <w:pPr>
              <w:spacing w:after="40" w:before="40"/>
            </w:pPr>
            <w:r>
              <w:rPr>
                <w:rFonts w:ascii="Arial" w:cs="Arial" w:eastAsia="Arial" w:hAnsi="Arial"/>
                <w:color w:val="1F2937"/>
                <w:sz w:val="20"/>
                <w:szCs w:val="20"/>
              </w:rPr>
              <w:t xml:space="preserve">Règle métier : L'agent ne peut soumettre que ses propres ordres de mission.</w:t>
            </w:r>
          </w:p>
        </w:tc>
      </w:tr>
    </w:tbl>
    <w:p>
      <w:pPr>
        <w:spacing w:after="0" w:before="120"/>
      </w:pPr>
    </w:p>
    <w:p>
      <w:pPr>
        <w:pStyle w:val="Heading2"/>
        <w:spacing w:after="150" w:before="300"/>
      </w:pPr>
      <w:r>
        <w:t xml:space="preserve">4.2 Workflow — Validation par le Chef de Service (N+1)</w:t>
      </w:r>
    </w:p>
    <w:p>
      <w:pPr>
        <w:spacing w:after="60" w:before="60"/>
      </w:pPr>
      <w:r>
        <w:rPr>
          <w:rFonts w:ascii="Arial" w:cs="Arial" w:eastAsia="Arial" w:hAnsi="Arial"/>
          <w:sz w:val="22"/>
          <w:szCs w:val="22"/>
        </w:rPr>
        <w:t xml:space="preserve">Le chef de service instruit les ordres de mission soumis par les agents de son service. Il peut approuver ou rejeter avec motivation.</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7C3AED"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7C3AED"/>
                <w:sz w:val="20"/>
                <w:szCs w:val="20"/>
              </w:rPr>
              <w:t xml:space="preserve">Chef service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Reçoit une notification email avec lien direct vers l'OM</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Accès direct à la page de validation</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w:t>
            </w:r>
          </w:p>
        </w:tc>
      </w:tr>
      <w:tr>
        <w:tc>
          <w:tcPr>
            <w:tcW w:type="dxa" w:w="600"/>
            <w:tcBorders>
              <w:top w:val="single" w:color="E5E7EB" w:sz="1"/>
              <w:left w:val="single" w:color="E5E7EB" w:sz="1"/>
              <w:bottom w:val="single" w:color="E5E7EB" w:sz="1"/>
              <w:right w:val="single" w:color="E5E7EB" w:sz="1"/>
            </w:tcBorders>
            <w:shd w:fill="7C3AED"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7C3AED"/>
                <w:sz w:val="20"/>
                <w:szCs w:val="20"/>
              </w:rPr>
              <w:t xml:space="preserve">Chef service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Consulte les détails de l'OM : agent, destination, dates, montant calculé</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Données vérifiées (budget, pertinence de la mission)</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7C3AED"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7C3AED"/>
                <w:sz w:val="20"/>
                <w:szCs w:val="20"/>
              </w:rPr>
              <w:t xml:space="preserve">Chef service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CAS 1 : Clique « Approuver » et confirme la validation</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Statut → VALIDE_N1. Notification DG envoyée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 + Email</w:t>
            </w:r>
          </w:p>
        </w:tc>
      </w:tr>
      <w:tr>
        <w:tc>
          <w:tcPr>
            <w:tcW w:type="dxa" w:w="600"/>
            <w:tcBorders>
              <w:top w:val="single" w:color="E5E7EB" w:sz="1"/>
              <w:left w:val="single" w:color="E5E7EB" w:sz="1"/>
              <w:bottom w:val="single" w:color="E5E7EB" w:sz="1"/>
              <w:right w:val="single" w:color="E5E7EB" w:sz="1"/>
            </w:tcBorders>
            <w:shd w:fill="7C3AED"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7C3AED"/>
                <w:sz w:val="20"/>
                <w:szCs w:val="20"/>
              </w:rPr>
              <w:t xml:space="preserve">Chef service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CAS 2 : Clique « Rejeter », saisit un motif obligatoire (min. 10 car.), confirme</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Statut → REJETE. Notification agent envoyée avec motif</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 + Email</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Si approuvé : envoie une notification au Directeur Général</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Email DG avec lien d'approbation</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Si rejeté : reçoit notification avec motif et peut créer un nouvel OM corrigé</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Agent informé du rejet</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 + Web</w:t>
            </w:r>
          </w:p>
        </w:tc>
      </w:tr>
    </w:tbl>
    <w:p>
      <w:pPr>
        <w:spacing w:after="0" w:before="120"/>
      </w:pPr>
    </w:p>
    <w:p>
      <w:pPr>
        <w:pStyle w:val="Heading2"/>
        <w:spacing w:after="150" w:before="300"/>
      </w:pPr>
      <w:r>
        <w:t xml:space="preserve">4.3 Workflow — Approbation par le Directeur Général</w:t>
      </w:r>
    </w:p>
    <w:p>
      <w:pPr>
        <w:spacing w:after="60" w:before="60"/>
      </w:pPr>
      <w:r>
        <w:rPr>
          <w:rFonts w:ascii="Arial" w:cs="Arial" w:eastAsia="Arial" w:hAnsi="Arial"/>
          <w:sz w:val="22"/>
          <w:szCs w:val="22"/>
        </w:rPr>
        <w:t xml:space="preserve">Le Directeur Général effectue la validation finale. Après son approbation, l'ordre de mission est transmis à la DRH pour traitement du paiement.</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CE1126"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CE1126"/>
                <w:sz w:val="20"/>
                <w:szCs w:val="20"/>
              </w:rPr>
              <w:t xml:space="preserve">Directeur</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Reçoit notification email des OM en attente de son approbation</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Tableau de bord affichant les OM VALIDE_N1</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 + Web</w:t>
            </w:r>
          </w:p>
        </w:tc>
      </w:tr>
      <w:tr>
        <w:tc>
          <w:tcPr>
            <w:tcW w:type="dxa" w:w="600"/>
            <w:tcBorders>
              <w:top w:val="single" w:color="E5E7EB" w:sz="1"/>
              <w:left w:val="single" w:color="E5E7EB" w:sz="1"/>
              <w:bottom w:val="single" w:color="E5E7EB" w:sz="1"/>
              <w:right w:val="single" w:color="E5E7EB" w:sz="1"/>
            </w:tcBorders>
            <w:shd w:fill="CE1126"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CE1126"/>
                <w:sz w:val="20"/>
                <w:szCs w:val="20"/>
              </w:rPr>
              <w:t xml:space="preserve">Directeur</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Consulte la liste des OM validés par les chefs de service</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Vue filtrée sur VALIDE_N1 avec synthèse budgétaire</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CE1126"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CE1126"/>
                <w:sz w:val="20"/>
                <w:szCs w:val="20"/>
              </w:rPr>
              <w:t xml:space="preserve">Directeur</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Ouvre un OM, vérifie l'ensemble (agent, objet, montant, validation N+1)</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Données complètes affichées</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CE1126"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CE1126"/>
                <w:sz w:val="20"/>
                <w:szCs w:val="20"/>
              </w:rPr>
              <w:t xml:space="preserve">Directeur</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CAS 1 : Clique « Approuver » — validation finale</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Statut → APPROUVE_DG. OM verrouillé (non modifiable)</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CE1126"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CE1126"/>
                <w:sz w:val="20"/>
                <w:szCs w:val="20"/>
              </w:rPr>
              <w:t xml:space="preserve">Directeur</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CAS 2 : Clique « Rejeter » avec motif obligatoire</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Statut → REJETE. Notification agent + chef service envoyée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 + Email</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Si approuvé : notifie la DRH et intègre l'OM dans la file de paiement</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OM prêt pour traitement paiement Mobile Money</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 + Email</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7</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Reçoit la notification et accède au module Paiements</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OM visible dans la liste des paiements en attente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 + Web</w:t>
            </w:r>
          </w:p>
        </w:tc>
      </w:tr>
    </w:tbl>
    <w:p>
      <w:pPr>
        <w:spacing w:after="0" w:before="120"/>
      </w:pPr>
    </w:p>
    <w:p>
      <w:pPr>
        <w:pStyle w:val="Heading2"/>
        <w:spacing w:after="150" w:before="300"/>
      </w:pPr>
      <w:r>
        <w:t xml:space="preserve">4.4 Workflow — Génération des Fichiers de Paiement Mobile Money</w:t>
      </w:r>
    </w:p>
    <w:p>
      <w:pPr>
        <w:spacing w:after="60" w:before="60"/>
      </w:pPr>
      <w:r>
        <w:rPr>
          <w:rFonts w:ascii="Arial" w:cs="Arial" w:eastAsia="Arial" w:hAnsi="Arial"/>
          <w:sz w:val="22"/>
          <w:szCs w:val="22"/>
        </w:rPr>
        <w:t xml:space="preserve">La DRH génère les fichiers de virement Mobile Money qui seront transmis aux opérateurs Moov Africa et MTN Bénin pour exécution des paiements.</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Accède au module Paiements → « Générer fichier Moov » ou « Générer fichier MTN »</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Liste des OM approuvés non encore payés affichée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Sélectionne la période (mois/trimestre) et les OM à inclure</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Récapitulatif : nb agents, montant total, détail par agent</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Vérifie que chaque agent sélectionné a un numéro Mobile Money enregistré</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Alertes affichées pour les agents sans numéro enregistré</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Valide la sélection et clique « Générer le fichier »</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CSV généré au format opérateur (Moov ou MTN)</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Crée l'enregistrement paiement (statut : EN_ATTENTE) pour chaque OM inclus</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Paiements tracés en base de données</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Télécharge le fichier CSV et le transmet à l'opérateur Mobile Money</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envoyé à l'opérateur via leur portail ou API</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Hors système</w:t>
            </w:r>
          </w:p>
        </w:tc>
      </w:tr>
      <w:tr>
        <w:tc>
          <w:tcPr>
            <w:tcW w:type="dxa" w:w="600"/>
            <w:tcBorders>
              <w:top w:val="single" w:color="E5E7EB" w:sz="1"/>
              <w:left w:val="single" w:color="E5E7EB" w:sz="1"/>
              <w:bottom w:val="single" w:color="E5E7EB" w:sz="1"/>
              <w:right w:val="single" w:color="E5E7EB" w:sz="1"/>
            </w:tcBorders>
            <w:shd w:fill="0891B2"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7</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0891B2"/>
                <w:sz w:val="20"/>
                <w:szCs w:val="20"/>
              </w:rPr>
              <w:t xml:space="preserve">Opérateur</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Traite les virements et fournit un fichier de retour (statuts de traitement)</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retour téléchargé par la DRH</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Hors 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8</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Upload le fichier retour dans le module Réconciliation</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Rapprochement automatique : statuts mis à jour (SUCCES / ECHEC)</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9</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Notifie chaque agent du succès ou échec de son paiement</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Agents informés par email ou notification in-app</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w:t>
            </w:r>
          </w:p>
        </w:tc>
      </w:tr>
    </w:tbl>
    <w:p>
      <w:pPr>
        <w:spacing w:after="0" w:before="120"/>
      </w:pPr>
    </w:p>
    <w:p>
      <w:pPr>
        <w:pStyle w:val="Heading2"/>
        <w:spacing w:after="150" w:before="300"/>
      </w:pPr>
      <w:r>
        <w:t xml:space="preserve">4.5 Workflow — Génération de l'Ordre de Mission PDF</w:t>
      </w:r>
    </w:p>
    <w:p>
      <w:pPr>
        <w:spacing w:after="60" w:before="60"/>
      </w:pPr>
      <w:r>
        <w:rPr>
          <w:rFonts w:ascii="Arial" w:cs="Arial" w:eastAsia="Arial" w:hAnsi="Arial"/>
          <w:sz w:val="22"/>
          <w:szCs w:val="22"/>
        </w:rPr>
        <w:t xml:space="preserve">À tout moment après la création, il est possible de générer le document officiel de l'ordre de mission au format PDF. Ce document est conforme aux standards administratifs de la République du Bénin.</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Ouvre le détail d'un ordre de mission (tout statut sauf BROUILLON)</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Bouton « Télécharger PDF » visible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Clique sur « Aperçu PDF » ou « Télécharger PDF »</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Requête envoyée au serveur Laravel</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Génère le PDF via DomPDF avec les données de l'OM (en-tête ANaTT, armoiries, données agent, mission, montants, zones signatures)</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PDF généré en mémoire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Serveur</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Retourne le PDF en réponse HTTP (Content-Type: application/pdf)</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PDF affiché dans le viewer ou téléchargé</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Serveur → Web</w:t>
            </w:r>
          </w:p>
        </w:tc>
      </w:tr>
      <w:tr>
        <w:tc>
          <w:tcPr>
            <w:tcW w:type="dxa" w:w="600"/>
            <w:tcBorders>
              <w:top w:val="single" w:color="E5E7EB" w:sz="1"/>
              <w:left w:val="single" w:color="E5E7EB" w:sz="1"/>
              <w:bottom w:val="single" w:color="E5E7EB" w:sz="1"/>
              <w:right w:val="single" w:color="E5E7EB" w:sz="1"/>
            </w:tcBorders>
            <w:shd w:fill="2563EB"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2563EB"/>
                <w:sz w:val="20"/>
                <w:szCs w:val="20"/>
              </w:rPr>
              <w:t xml:space="preserve">Agent</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Visualise le PDF dans l'aperçu ou télécharge le fichier</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Document imprimable nommé OM-2026-XXXX.pdf</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bl>
    <w:p>
      <w:pPr>
        <w:spacing w:after="0" w:before="120"/>
      </w:pPr>
    </w:p>
    <w:p>
      <w:pPr>
        <w:pStyle w:val="Heading2"/>
        <w:spacing w:after="150" w:before="300"/>
      </w:pPr>
      <w:r>
        <w:t xml:space="preserve">4.6 Workflow — Import en Masse des Agents (CSV)</w:t>
      </w:r>
    </w:p>
    <w:p>
      <w:pPr>
        <w:spacing w:after="60" w:before="60"/>
      </w:pPr>
      <w:r>
        <w:rPr>
          <w:rFonts w:ascii="Arial" w:cs="Arial" w:eastAsia="Arial" w:hAnsi="Arial"/>
          <w:sz w:val="22"/>
          <w:szCs w:val="22"/>
        </w:rPr>
        <w:t xml:space="preserve">La DRH peut importer une liste d'agents depuis un fichier Excel/CSV pour initialiser le système ou effectuer des mises à jour en masse.</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Télécharge le modèle CSV depuis la page d'import</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template avec en-têtes correctes</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Remplit le fichier CSV avec les données agents</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prêt (matricule, nom, prénom, email, catégorie, numéros MM)</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Hors 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Upload le fichier CSV sur la page d'import</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Prévisualisation des 5 premières lignes affichée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Valide le format : en-têtes, types de données, doublons de matricule</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Rapport de validation : lignes valides / erreurs listées</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Corrige les erreurs signalées si nécessaire et relance l'import</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Import confirmé</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Importe les agents valides, envoie les emails de bienvenue avec mot de passe temporaire</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X agents créés, Y erreurs ignorées — rapport affiché</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 + Email</w:t>
            </w:r>
          </w:p>
        </w:tc>
      </w:tr>
    </w:tbl>
    <w:p>
      <w:pPr>
        <w:spacing w:after="0" w:before="120"/>
      </w:pPr>
    </w:p>
    <w:p>
      <w:pPr>
        <w:pStyle w:val="Heading2"/>
        <w:spacing w:after="150" w:before="300"/>
      </w:pPr>
      <w:r>
        <w:t xml:space="preserve">4.7 Workflow — Réconciliation des Paiements</w:t>
      </w:r>
    </w:p>
    <w:p>
      <w:pPr>
        <w:spacing w:after="60" w:before="60"/>
      </w:pPr>
      <w:r>
        <w:rPr>
          <w:rFonts w:ascii="Arial" w:cs="Arial" w:eastAsia="Arial" w:hAnsi="Arial"/>
          <w:sz w:val="22"/>
          <w:szCs w:val="22"/>
        </w:rPr>
        <w:t xml:space="preserve">Après réception du fichier de retour de l'opérateur Mobile Money, la DRH effectue le rapprochement pour mettre à jour les statuts de paiement.</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200"/>
        <w:gridCol w:w="2400"/>
        <w:gridCol w:w="1226"/>
      </w:tblGrid>
      <w:tr>
        <w:trPr>
          <w:tblHeader/>
        </w:trPr>
        <w:tc>
          <w:tcPr>
            <w:tcW w:type="dxa" w:w="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16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Acteur</w:t>
            </w:r>
          </w:p>
        </w:tc>
        <w:tc>
          <w:tcPr>
            <w:tcW w:type="dxa" w:w="32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w:t>
            </w:r>
          </w:p>
        </w:tc>
        <w:tc>
          <w:tcPr>
            <w:tcW w:type="dxa" w:w="2400"/>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Résultat / Statut</w:t>
            </w:r>
          </w:p>
        </w:tc>
        <w:tc>
          <w:tcPr>
            <w:tcW w:type="dxa" w:w="1226"/>
            <w:tcBorders>
              <w:top w:val="single" w:color="6B7280" w:sz="1"/>
              <w:left w:val="single" w:color="6B7280" w:sz="1"/>
              <w:bottom w:val="single" w:color="6B7280" w:sz="1"/>
              <w:right w:val="single" w:color="6B7280" w:sz="1"/>
            </w:tcBorders>
            <w:shd w:fill="1F2937"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Canal</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Reçoit le fichier de retour de l'opérateur (Moov ou MTN) après traitement des virements</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CSV/Excel retour disponible</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Hors 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Accède au module « Réconciliation » et upload le fichier retour opérateur</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Fichier uploadé sur le serveur</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Parse le fichier retour et identifie chaque ligne par la référence (numéro OM)</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Correspondances trouvées / non trouvées</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4</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Met à jour le statut de chaque paiement : SUCCES, ECHEC, ou PENDING</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Statuts mis à jour en base de données</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Système</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Consulte le rapport de réconciliation : taux de succès, montant total viré, échecs</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Rapport complet affiché</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Web</w:t>
            </w:r>
          </w:p>
        </w:tc>
      </w:tr>
      <w:tr>
        <w:tc>
          <w:tcPr>
            <w:tcW w:type="dxa" w:w="600"/>
            <w:tcBorders>
              <w:top w:val="single" w:color="E5E7EB" w:sz="1"/>
              <w:left w:val="single" w:color="E5E7EB" w:sz="1"/>
              <w:bottom w:val="single" w:color="E5E7EB" w:sz="1"/>
              <w:right w:val="single" w:color="E5E7EB" w:sz="1"/>
            </w:tcBorders>
            <w:shd w:fill="6B728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16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b/>
                <w:bCs/>
                <w:color w:val="6B7280"/>
                <w:sz w:val="20"/>
                <w:szCs w:val="20"/>
              </w:rPr>
              <w:t xml:space="preserve">Système</w:t>
            </w:r>
          </w:p>
        </w:tc>
        <w:tc>
          <w:tcPr>
            <w:tcW w:type="dxa" w:w="32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sz w:val="20"/>
                <w:szCs w:val="20"/>
              </w:rPr>
              <w:t xml:space="preserve">Notifie les agents dont le paiement a réussi par email</w:t>
            </w:r>
          </w:p>
        </w:tc>
        <w:tc>
          <w:tcPr>
            <w:tcW w:type="dxa" w:w="2400"/>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r>
              <w:rPr>
                <w:rFonts w:ascii="Arial" w:cs="Arial" w:eastAsia="Arial" w:hAnsi="Arial"/>
                <w:i/>
                <w:iCs/>
                <w:color w:val="374151"/>
                <w:sz w:val="20"/>
                <w:szCs w:val="20"/>
              </w:rPr>
              <w:t xml:space="preserve">Emails envoyés avec montant reçu et référence transaction</w:t>
            </w:r>
          </w:p>
        </w:tc>
        <w:tc>
          <w:tcPr>
            <w:tcW w:type="dxa" w:w="1226"/>
            <w:tcBorders>
              <w:top w:val="single" w:color="E5E7EB" w:sz="1"/>
              <w:left w:val="single" w:color="E5E7EB" w:sz="1"/>
              <w:bottom w:val="single" w:color="E5E7EB" w:sz="1"/>
              <w:right w:val="single" w:color="E5E7EB" w:sz="1"/>
            </w:tcBorders>
            <w:shd w:fill="F3F4F6"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Email</w:t>
            </w:r>
          </w:p>
        </w:tc>
      </w:tr>
      <w:tr>
        <w:tc>
          <w:tcPr>
            <w:tcW w:type="dxa" w:w="600"/>
            <w:tcBorders>
              <w:top w:val="single" w:color="E5E7EB" w:sz="1"/>
              <w:left w:val="single" w:color="E5E7EB" w:sz="1"/>
              <w:bottom w:val="single" w:color="E5E7EB" w:sz="1"/>
              <w:right w:val="single" w:color="E5E7EB" w:sz="1"/>
            </w:tcBorders>
            <w:shd w:fill="D4A843"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7</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b/>
                <w:bCs/>
                <w:color w:val="D4A843"/>
                <w:sz w:val="20"/>
                <w:szCs w:val="20"/>
              </w:rPr>
              <w:t xml:space="preserve">RH / DRH</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sz w:val="20"/>
                <w:szCs w:val="20"/>
              </w:rPr>
              <w:t xml:space="preserve">Pour les échecs : contacte l'opérateur ou replanifie le virement</w:t>
            </w:r>
          </w:p>
        </w:tc>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r>
              <w:rPr>
                <w:rFonts w:ascii="Arial" w:cs="Arial" w:eastAsia="Arial" w:hAnsi="Arial"/>
                <w:i/>
                <w:iCs/>
                <w:color w:val="374151"/>
                <w:sz w:val="20"/>
                <w:szCs w:val="20"/>
              </w:rPr>
              <w:t xml:space="preserve">Gestion manuelle des cas d'échec</w:t>
            </w:r>
          </w:p>
        </w:tc>
        <w:tc>
          <w:tcPr>
            <w:tcW w:type="dxa" w:w="1226"/>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vAlign w:val="center"/>
          </w:tcPr>
          <w:p>
            <w:pPr>
              <w:jc w:val="center"/>
            </w:pPr>
            <w:r>
              <w:rPr>
                <w:rFonts w:ascii="Arial" w:cs="Arial" w:eastAsia="Arial" w:hAnsi="Arial"/>
                <w:color w:val="6B7280"/>
                <w:sz w:val="18"/>
                <w:szCs w:val="18"/>
              </w:rPr>
              <w:t xml:space="preserve">Hors système</w:t>
            </w:r>
          </w:p>
        </w:tc>
      </w:tr>
    </w:tbl>
    <w:p>
      <w:r>
        <w:br w:type="page"/>
      </w:r>
    </w:p>
    <w:p>
      <w:pPr>
        <w:pStyle w:val="Heading1"/>
        <w:spacing w:after="200" w:before="400"/>
      </w:pPr>
      <w:r>
        <w:t xml:space="preserve">5. Règles Métier</w:t>
      </w:r>
    </w:p>
    <w:p>
      <w:pPr>
        <w:pStyle w:val="Heading2"/>
        <w:spacing w:after="150" w:before="300"/>
      </w:pPr>
      <w:r>
        <w:t xml:space="preserve">5.1 Calcul du Per Diem</w:t>
      </w:r>
    </w:p>
    <w:p>
      <w:pPr>
        <w:spacing w:after="60" w:before="60"/>
      </w:pPr>
      <w:r>
        <w:rPr>
          <w:rFonts w:ascii="Arial" w:cs="Arial" w:eastAsia="Arial" w:hAnsi="Arial"/>
          <w:sz w:val="22"/>
          <w:szCs w:val="22"/>
        </w:rPr>
        <w:t xml:space="preserve">Le montant du per diem est calculé automatiquement par le système selon la formule suivante :</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9E4F" w:sz="4"/>
              <w:left w:val="thick" w:color="1D9E4F" w:sz="12"/>
              <w:bottom w:val="single" w:color="1D9E4F" w:sz="4"/>
              <w:right w:val="single" w:color="1D9E4F" w:sz="1"/>
            </w:tcBorders>
            <w:shd w:fill="EDFAF2"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FORMULE : Montant Per Diem = Nombre de jours × Taux journalier</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Nombre de jours = Date de retour - Date de départ + 1 (les deux jours inclus)</w:t>
            </w:r>
          </w:p>
          <w:p>
            <w:pPr>
              <w:spacing w:after="40" w:before="40"/>
            </w:pPr>
            <w:r>
              <w:rPr>
                <w:rFonts w:ascii="Arial" w:cs="Arial" w:eastAsia="Arial" w:hAnsi="Arial"/>
                <w:color w:val="1F2937"/>
                <w:sz w:val="20"/>
                <w:szCs w:val="20"/>
              </w:rPr>
              <w:t xml:space="preserve">Taux journalier = Barème ANaTT selon catégorie agent et type de destination</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Exemple : Agent catégorie A1, mission 3 jours à Parakou (destination locale)</w:t>
            </w:r>
          </w:p>
          <w:p>
            <w:pPr>
              <w:spacing w:after="40" w:before="40"/>
            </w:pPr>
            <w:r>
              <w:rPr>
                <w:rFonts w:ascii="Arial" w:cs="Arial" w:eastAsia="Arial" w:hAnsi="Arial"/>
                <w:color w:val="1F2937"/>
                <w:sz w:val="20"/>
                <w:szCs w:val="20"/>
              </w:rPr>
              <w:t xml:space="preserve">           → Taux A1 Local = 15 000 FCFA/jour</w:t>
            </w:r>
          </w:p>
          <w:p>
            <w:pPr>
              <w:spacing w:after="40" w:before="40"/>
            </w:pPr>
            <w:r>
              <w:rPr>
                <w:rFonts w:ascii="Arial" w:cs="Arial" w:eastAsia="Arial" w:hAnsi="Arial"/>
                <w:color w:val="1F2937"/>
                <w:sz w:val="20"/>
                <w:szCs w:val="20"/>
              </w:rPr>
              <w:t xml:space="preserve">           → Montant = 3 × 15 000 = 45 000 FCFA</w:t>
            </w:r>
          </w:p>
        </w:tc>
      </w:tr>
    </w:tbl>
    <w:p>
      <w:pPr>
        <w:spacing w:after="0" w:before="120"/>
      </w:pPr>
    </w:p>
    <w:p>
      <w:pPr>
        <w:pStyle w:val="Heading2"/>
        <w:spacing w:after="150" w:before="300"/>
      </w:pPr>
      <w:r>
        <w:t xml:space="preserve">5.2 Barème des Taux Per Diem (exemple)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526"/>
      </w:tblGrid>
      <w:tr>
        <w:trPr>
          <w:tblHeader/>
        </w:trPr>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Catégorie</w:t>
            </w:r>
          </w:p>
        </w:tc>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Destination locale</w:t>
            </w:r>
          </w:p>
        </w:tc>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Destination régionale</w:t>
            </w:r>
          </w:p>
        </w:tc>
        <w:tc>
          <w:tcPr>
            <w:tcW w:type="dxa" w:w="25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Destination internationale</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A1 (Cadre supérieur)</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15 000 FCFA</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25 000 FCFA</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50 000 FCFA</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A2 (Cadre)</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12 000 FCFA</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20 000 FCFA</w:t>
            </w:r>
          </w:p>
        </w:tc>
        <w:tc>
          <w:tcPr>
            <w:tcW w:type="dxa" w:w="2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40 000 FCFA</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B (Agent de maîtrise)</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10 000 FCFA</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16 000 FCFA</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30 000 FCFA</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 (Technicien)</w:t>
            </w:r>
          </w:p>
        </w:tc>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8 000 FCFA</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13 000 FCFA</w:t>
            </w:r>
          </w:p>
        </w:tc>
        <w:tc>
          <w:tcPr>
            <w:tcW w:type="dxa" w:w="2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25 000 FCFA</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 (Agent d'exécution)</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6 000 FCFA</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10 000 FCFA</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20 000 FCFA</w:t>
            </w:r>
          </w:p>
        </w:tc>
      </w:tr>
    </w:tbl>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4A843" w:sz="4"/>
              <w:left w:val="thick" w:color="D4A843" w:sz="12"/>
              <w:bottom w:val="single" w:color="D4A843" w:sz="4"/>
              <w:right w:val="single" w:color="D4A843" w:sz="1"/>
            </w:tcBorders>
            <w:shd w:fill="FBF3E0"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Note : Le barème est mis à jour annuellement par la Direction des Ressources Humaines. Les taux ci-dessus sont des exemples indicatifs.</w:t>
            </w:r>
          </w:p>
        </w:tc>
      </w:tr>
    </w:tbl>
    <w:p>
      <w:pPr>
        <w:spacing w:after="0" w:before="120"/>
      </w:pPr>
    </w:p>
    <w:p>
      <w:pPr>
        <w:pStyle w:val="Heading2"/>
        <w:spacing w:after="150" w:before="300"/>
      </w:pPr>
      <w:r>
        <w:t xml:space="preserve">5.3 Règles de validation des Ordres de 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rPr>
          <w:tblHeader/>
        </w:trPr>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Règle</w:t>
            </w:r>
          </w:p>
        </w:tc>
        <w:tc>
          <w:tcPr>
            <w:tcW w:type="dxa" w:w="4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c>
          <w:tcPr>
            <w:tcW w:type="dxa" w:w="25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Contrôle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Unicité numéro OM</w:t>
            </w:r>
          </w:p>
        </w:tc>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Chaque OM reçoit un numéro unique OM-AAAA-XXXX</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Système</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Dates cohérentes</w:t>
            </w:r>
          </w:p>
        </w:tc>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Date de retour &gt;= Date de départ</w:t>
            </w:r>
          </w:p>
        </w:tc>
        <w:tc>
          <w:tcPr>
            <w:tcW w:type="dxa" w:w="2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Formulaire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Agent actif</w:t>
            </w:r>
          </w:p>
        </w:tc>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Seuls les agents actifs peuvent être liés à un OM</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Modification BROUILLON</w:t>
            </w:r>
          </w:p>
        </w:tc>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Un OM ne peut être modifié que si statut = BROUILLON</w:t>
            </w:r>
          </w:p>
        </w:tc>
        <w:tc>
          <w:tcPr>
            <w:tcW w:type="dxa" w:w="2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Suppression BROUILLON</w:t>
            </w:r>
          </w:p>
        </w:tc>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Un OM ne peut être supprimé que si statut = BROUILLON</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Rejet motivé</w:t>
            </w:r>
          </w:p>
        </w:tc>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Tout rejet (N+1 ou DG) nécessite un commentaire &gt;= 10 caractères</w:t>
            </w:r>
          </w:p>
        </w:tc>
        <w:tc>
          <w:tcPr>
            <w:tcW w:type="dxa" w:w="2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Formulaire + API</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Validation service</w:t>
            </w:r>
          </w:p>
        </w:tc>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Le chef de service ne peut valider que les OM de son service</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OM verrouillé</w:t>
            </w:r>
          </w:p>
        </w:tc>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Après APPROUVE_DG, l'OM est en lecture seule</w:t>
            </w:r>
          </w:p>
        </w:tc>
        <w:tc>
          <w:tcPr>
            <w:tcW w:type="dxa" w:w="2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Numéro Mobile Money</w:t>
            </w:r>
          </w:p>
        </w:tc>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L'agent doit avoir un numéro MM enregistré pour être payé</w:t>
            </w:r>
          </w:p>
        </w:tc>
        <w:tc>
          <w:tcPr>
            <w:tcW w:type="dxa" w:w="2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Paiement</w:t>
            </w:r>
          </w:p>
        </w:tc>
      </w:tr>
    </w:tbl>
    <w:p>
      <w:r>
        <w:br w:type="page"/>
      </w:r>
    </w:p>
    <w:p>
      <w:pPr>
        <w:pStyle w:val="Heading1"/>
        <w:spacing w:after="200" w:before="400"/>
      </w:pPr>
      <w:r>
        <w:t xml:space="preserve">6. Sécurité et Gestion des Accès</w:t>
      </w:r>
    </w:p>
    <w:p>
      <w:pPr>
        <w:pStyle w:val="Heading2"/>
        <w:spacing w:after="150" w:before="300"/>
      </w:pPr>
      <w:r>
        <w:t xml:space="preserve">6.1 Matrice des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200"/>
        <w:gridCol w:w="800"/>
        <w:gridCol w:w="1200"/>
        <w:gridCol w:w="1226"/>
        <w:gridCol w:w="600"/>
      </w:tblGrid>
      <w:tr>
        <w:trPr>
          <w:tblHeader/>
        </w:trPr>
        <w:tc>
          <w:tcPr>
            <w:tcW w:type="dxa" w:w="3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Fonctionnalité</w:t>
            </w:r>
          </w:p>
        </w:tc>
        <w:tc>
          <w:tcPr>
            <w:tcW w:type="dxa" w:w="1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Agent</w:t>
            </w:r>
          </w:p>
        </w:tc>
        <w:tc>
          <w:tcPr>
            <w:tcW w:type="dxa" w:w="1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Chef service</w:t>
            </w:r>
          </w:p>
        </w:tc>
        <w:tc>
          <w:tcPr>
            <w:tcW w:type="dxa" w:w="8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DRH</w:t>
            </w:r>
          </w:p>
        </w:tc>
        <w:tc>
          <w:tcPr>
            <w:tcW w:type="dxa" w:w="1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Directeur</w:t>
            </w:r>
          </w:p>
        </w:tc>
        <w:tc>
          <w:tcPr>
            <w:tcW w:type="dxa" w:w="12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Admin</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Créer un OM</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 (sien)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 (sien)</w:t>
            </w:r>
          </w:p>
        </w:tc>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Voir tous les OM</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 (sien seul)</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Service seul</w:t>
            </w:r>
          </w:p>
        </w:tc>
        <w:tc>
          <w:tcPr>
            <w:tcW w:type="dxa" w:w="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Valider OM (N+1)</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 (service)</w:t>
            </w:r>
          </w:p>
        </w:tc>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Approuver OM (DG)</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Générer fichier paiement</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Gérer les agents</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Configurer les taux</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Consulter les rapports</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c>
          <w:tcPr>
            <w:tcW w:type="dxa" w:w="12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Accéder à l'audit</w:t>
            </w:r>
          </w:p>
        </w:tc>
        <w:tc>
          <w:tcPr>
            <w:tcW w:type="dxa" w:w="1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Oui</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Administration système</w:t>
            </w:r>
          </w:p>
        </w:tc>
        <w:tc>
          <w:tcPr>
            <w:tcW w:type="dxa" w:w="1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Non</w:t>
            </w:r>
          </w:p>
        </w:tc>
        <w:tc>
          <w:tcPr>
            <w:tcW w:type="dxa" w:w="12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Oui</w:t>
            </w:r>
          </w:p>
        </w:tc>
      </w:tr>
    </w:tbl>
    <w:p>
      <w:pPr>
        <w:spacing w:after="0" w:before="120"/>
      </w:pPr>
    </w:p>
    <w:p>
      <w:pPr>
        <w:pStyle w:val="Heading2"/>
        <w:spacing w:after="150" w:before="300"/>
      </w:pPr>
      <w:r>
        <w:t xml:space="preserve">6.2 Sécurité de l'application</w:t>
      </w:r>
    </w:p>
    <w:p>
      <w:pPr>
        <w:pStyle w:val="ListParagraph"/>
        <w:numPr>
          <w:ilvl w:val="0"/>
          <w:numId w:val="2"/>
        </w:numPr>
        <w:spacing w:after="40" w:before="40"/>
      </w:pPr>
      <w:r>
        <w:rPr>
          <w:rFonts w:ascii="Arial" w:cs="Arial" w:eastAsia="Arial" w:hAnsi="Arial"/>
          <w:sz w:val="22"/>
          <w:szCs w:val="22"/>
        </w:rPr>
        <w:t xml:space="preserve">Authentification : Tokens Laravel Sanctum (rotation à chaque connexion)</w:t>
      </w:r>
    </w:p>
    <w:p>
      <w:pPr>
        <w:pStyle w:val="ListParagraph"/>
        <w:numPr>
          <w:ilvl w:val="0"/>
          <w:numId w:val="2"/>
        </w:numPr>
        <w:spacing w:after="40" w:before="40"/>
      </w:pPr>
      <w:r>
        <w:rPr>
          <w:rFonts w:ascii="Arial" w:cs="Arial" w:eastAsia="Arial" w:hAnsi="Arial"/>
          <w:sz w:val="22"/>
          <w:szCs w:val="22"/>
        </w:rPr>
        <w:t xml:space="preserve">Durée de session : 8 heures maximum, renouvellement possible</w:t>
      </w:r>
    </w:p>
    <w:p>
      <w:pPr>
        <w:pStyle w:val="ListParagraph"/>
        <w:numPr>
          <w:ilvl w:val="0"/>
          <w:numId w:val="2"/>
        </w:numPr>
        <w:spacing w:after="40" w:before="40"/>
      </w:pPr>
      <w:r>
        <w:rPr>
          <w:rFonts w:ascii="Arial" w:cs="Arial" w:eastAsia="Arial" w:hAnsi="Arial"/>
          <w:sz w:val="22"/>
          <w:szCs w:val="22"/>
        </w:rPr>
        <w:t xml:space="preserve">Mots de passe : Hachage bcrypt (12 tours), min. 8 caractères</w:t>
      </w:r>
    </w:p>
    <w:p>
      <w:pPr>
        <w:pStyle w:val="ListParagraph"/>
        <w:numPr>
          <w:ilvl w:val="0"/>
          <w:numId w:val="2"/>
        </w:numPr>
        <w:spacing w:after="40" w:before="40"/>
      </w:pPr>
      <w:r>
        <w:rPr>
          <w:rFonts w:ascii="Arial" w:cs="Arial" w:eastAsia="Arial" w:hAnsi="Arial"/>
          <w:sz w:val="22"/>
          <w:szCs w:val="22"/>
        </w:rPr>
        <w:t xml:space="preserve">HTTPS : Obligatoire en production (certificat Certbot/Let's Encrypt)</w:t>
      </w:r>
    </w:p>
    <w:p>
      <w:pPr>
        <w:pStyle w:val="ListParagraph"/>
        <w:numPr>
          <w:ilvl w:val="0"/>
          <w:numId w:val="2"/>
        </w:numPr>
        <w:spacing w:after="40" w:before="40"/>
      </w:pPr>
      <w:r>
        <w:rPr>
          <w:rFonts w:ascii="Arial" w:cs="Arial" w:eastAsia="Arial" w:hAnsi="Arial"/>
          <w:sz w:val="22"/>
          <w:szCs w:val="22"/>
        </w:rPr>
        <w:t xml:space="preserve">Protection CSRF : Laravel Sanctum + en-têtes X-XSRF-TOKEN</w:t>
      </w:r>
    </w:p>
    <w:p>
      <w:pPr>
        <w:pStyle w:val="ListParagraph"/>
        <w:numPr>
          <w:ilvl w:val="0"/>
          <w:numId w:val="2"/>
        </w:numPr>
        <w:spacing w:after="40" w:before="40"/>
      </w:pPr>
      <w:r>
        <w:rPr>
          <w:rFonts w:ascii="Arial" w:cs="Arial" w:eastAsia="Arial" w:hAnsi="Arial"/>
          <w:sz w:val="22"/>
          <w:szCs w:val="22"/>
        </w:rPr>
        <w:t xml:space="preserve">Rate limiting : 60 requêtes/minute par IP sur l'API</w:t>
      </w:r>
    </w:p>
    <w:p>
      <w:pPr>
        <w:pStyle w:val="ListParagraph"/>
        <w:numPr>
          <w:ilvl w:val="0"/>
          <w:numId w:val="2"/>
        </w:numPr>
        <w:spacing w:after="40" w:before="40"/>
      </w:pPr>
      <w:r>
        <w:rPr>
          <w:rFonts w:ascii="Arial" w:cs="Arial" w:eastAsia="Arial" w:hAnsi="Arial"/>
          <w:sz w:val="22"/>
          <w:szCs w:val="22"/>
        </w:rPr>
        <w:t xml:space="preserve">Injection SQL : Protection par Eloquent ORM (requêtes préparées)</w:t>
      </w:r>
    </w:p>
    <w:p>
      <w:pPr>
        <w:pStyle w:val="ListParagraph"/>
        <w:numPr>
          <w:ilvl w:val="0"/>
          <w:numId w:val="2"/>
        </w:numPr>
        <w:spacing w:after="40" w:before="40"/>
      </w:pPr>
      <w:r>
        <w:rPr>
          <w:rFonts w:ascii="Arial" w:cs="Arial" w:eastAsia="Arial" w:hAnsi="Arial"/>
          <w:sz w:val="22"/>
          <w:szCs w:val="22"/>
        </w:rPr>
        <w:t xml:space="preserve">XSS : Échappement automatique Vue.js + Content Security Policy</w:t>
      </w:r>
    </w:p>
    <w:p>
      <w:pPr>
        <w:pStyle w:val="ListParagraph"/>
        <w:numPr>
          <w:ilvl w:val="0"/>
          <w:numId w:val="2"/>
        </w:numPr>
        <w:spacing w:after="40" w:before="40"/>
      </w:pPr>
      <w:r>
        <w:rPr>
          <w:rFonts w:ascii="Arial" w:cs="Arial" w:eastAsia="Arial" w:hAnsi="Arial"/>
          <w:sz w:val="22"/>
          <w:szCs w:val="22"/>
        </w:rPr>
        <w:t xml:space="preserve">Logs de sécurité : Toute connexion réussie ou échouée est journalisée</w:t>
      </w:r>
    </w:p>
    <w:p>
      <w:pPr>
        <w:spacing w:after="0" w:before="120"/>
      </w:pPr>
    </w:p>
    <w:p>
      <w:pPr>
        <w:pStyle w:val="Heading2"/>
        <w:spacing w:after="150" w:before="300"/>
      </w:pPr>
      <w:r>
        <w:t xml:space="preserve">6.3 Audit et traçabilité</w:t>
      </w:r>
    </w:p>
    <w:p>
      <w:pPr>
        <w:spacing w:after="60" w:before="60"/>
      </w:pPr>
      <w:r>
        <w:rPr>
          <w:rFonts w:ascii="Arial" w:cs="Arial" w:eastAsia="Arial" w:hAnsi="Arial"/>
          <w:sz w:val="22"/>
          <w:szCs w:val="22"/>
        </w:rPr>
        <w:t xml:space="preserve">Toutes les actions sensibles sont enregistrées dans la table audit_logs avec les informations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Champ</w:t>
            </w:r>
          </w:p>
        </w:tc>
        <w:tc>
          <w:tcPr>
            <w:tcW w:type="dxa" w:w="65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user_id</w:t>
            </w:r>
          </w:p>
        </w:tc>
        <w:tc>
          <w:tcPr>
            <w:tcW w:type="dxa" w:w="6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Identifiant de l'utilisateur qui a effectué l'action</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action</w:t>
            </w:r>
          </w:p>
        </w:tc>
        <w:tc>
          <w:tcPr>
            <w:tcW w:type="dxa" w:w="6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Type d'action (CREATE, UPDATE, DELETE, VALIDATE, APPROVE, REJECT, PAYMENT...)</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model_type</w:t>
            </w:r>
          </w:p>
        </w:tc>
        <w:tc>
          <w:tcPr>
            <w:tcW w:type="dxa" w:w="6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Entité concernée (OrdreMission, Agent, Paiement...)</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model_id</w:t>
            </w:r>
          </w:p>
        </w:tc>
        <w:tc>
          <w:tcPr>
            <w:tcW w:type="dxa" w:w="6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Identifiant de l'entité concernée</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old_values</w:t>
            </w:r>
          </w:p>
        </w:tc>
        <w:tc>
          <w:tcPr>
            <w:tcW w:type="dxa" w:w="6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Valeurs avant modification (JSON)</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new_values</w:t>
            </w:r>
          </w:p>
        </w:tc>
        <w:tc>
          <w:tcPr>
            <w:tcW w:type="dxa" w:w="6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Valeurs après modification (JSON)</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ip_address</w:t>
            </w:r>
          </w:p>
        </w:tc>
        <w:tc>
          <w:tcPr>
            <w:tcW w:type="dxa" w:w="6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Adresse IP de l'utilisateur</w:t>
            </w:r>
          </w:p>
        </w:tc>
      </w:tr>
      <w:tr>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user_agent</w:t>
            </w:r>
          </w:p>
        </w:tc>
        <w:tc>
          <w:tcPr>
            <w:tcW w:type="dxa" w:w="6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Navigateur et système d'exploitation</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created_at</w:t>
            </w:r>
          </w:p>
        </w:tc>
        <w:tc>
          <w:tcPr>
            <w:tcW w:type="dxa" w:w="6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Horodatage précis (timestamp avec timezone)</w:t>
            </w:r>
          </w:p>
        </w:tc>
      </w:tr>
    </w:tbl>
    <w:p>
      <w:r>
        <w:br w:type="page"/>
      </w:r>
    </w:p>
    <w:p>
      <w:pPr>
        <w:pStyle w:val="Heading1"/>
        <w:spacing w:after="200" w:before="400"/>
      </w:pPr>
      <w:r>
        <w:t xml:space="preserve">7. Référence API</w:t>
      </w:r>
    </w:p>
    <w:p>
      <w:pPr>
        <w:pStyle w:val="Heading2"/>
        <w:spacing w:after="150" w:before="300"/>
      </w:pPr>
      <w:r>
        <w:t xml:space="preserve">7.1 Base URL et authentification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563EB" w:sz="4"/>
              <w:left w:val="thick" w:color="2563EB" w:sz="12"/>
              <w:bottom w:val="single" w:color="2563EB" w:sz="4"/>
              <w:right w:val="single" w:color="2563EB" w:sz="1"/>
            </w:tcBorders>
            <w:shd w:fill="EFF6FF"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Base URL : https://api.anatt-missions.bj/api</w:t>
            </w:r>
          </w:p>
          <w:p>
            <w:pPr>
              <w:spacing w:after="40" w:before="40"/>
            </w:pPr>
            <w:r>
              <w:rPr>
                <w:rFonts w:ascii="Arial" w:cs="Arial" w:eastAsia="Arial" w:hAnsi="Arial"/>
                <w:color w:val="1F2937"/>
                <w:sz w:val="20"/>
                <w:szCs w:val="20"/>
              </w:rPr>
              <w:t xml:space="preserve">Authentification : Bearer Token (header: Authorization: Bearer {token})</w:t>
            </w:r>
          </w:p>
          <w:p>
            <w:pPr>
              <w:spacing w:after="40" w:before="40"/>
            </w:pPr>
            <w:r>
              <w:rPr>
                <w:rFonts w:ascii="Arial" w:cs="Arial" w:eastAsia="Arial" w:hAnsi="Arial"/>
                <w:color w:val="1F2937"/>
                <w:sz w:val="20"/>
                <w:szCs w:val="20"/>
              </w:rPr>
              <w:t xml:space="preserve">Format : JSON (Content-Type: application/json)</w:t>
            </w:r>
          </w:p>
          <w:p>
            <w:pPr>
              <w:spacing w:after="40" w:before="40"/>
            </w:pPr>
            <w:r>
              <w:rPr>
                <w:rFonts w:ascii="Arial" w:cs="Arial" w:eastAsia="Arial" w:hAnsi="Arial"/>
                <w:color w:val="1F2937"/>
                <w:sz w:val="20"/>
                <w:szCs w:val="20"/>
              </w:rPr>
              <w:t xml:space="preserve">Pagination : ?page=1&amp;per_page=20</w:t>
            </w:r>
          </w:p>
          <w:p>
            <w:pPr>
              <w:spacing w:after="40" w:before="40"/>
            </w:pPr>
            <w:r>
              <w:rPr>
                <w:rFonts w:ascii="Arial" w:cs="Arial" w:eastAsia="Arial" w:hAnsi="Arial"/>
                <w:color w:val="1F2937"/>
                <w:sz w:val="20"/>
                <w:szCs w:val="20"/>
              </w:rPr>
              <w:t xml:space="preserve">Tri : ?sort=created_at&amp;order=desc</w:t>
            </w:r>
          </w:p>
        </w:tc>
      </w:tr>
    </w:tbl>
    <w:p>
      <w:pPr>
        <w:spacing w:after="0" w:before="120"/>
      </w:pPr>
    </w:p>
    <w:p>
      <w:pPr>
        <w:pStyle w:val="Heading2"/>
        <w:spacing w:after="150" w:before="300"/>
      </w:pPr>
      <w:r>
        <w:t xml:space="preserve">7.2 Endpoints — Ordres de 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500"/>
        <w:gridCol w:w="2426"/>
      </w:tblGrid>
      <w:tr>
        <w:trPr>
          <w:tblHeader/>
        </w:trPr>
        <w:tc>
          <w:tcPr>
            <w:tcW w:type="dxa" w:w="9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Méthode</w:t>
            </w:r>
          </w:p>
        </w:tc>
        <w:tc>
          <w:tcPr>
            <w:tcW w:type="dxa" w:w="2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URL</w:t>
            </w:r>
          </w:p>
        </w:tc>
        <w:tc>
          <w:tcPr>
            <w:tcW w:type="dxa" w:w="3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c>
          <w:tcPr>
            <w:tcW w:type="dxa" w:w="24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Accès</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/api/ordres</w:t>
            </w:r>
          </w:p>
        </w:tc>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Liste paginée des OM (filtres: statut, agent, dates)</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Authentifié</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/api/ordres</w:t>
            </w:r>
          </w:p>
        </w:tc>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Créer un nouvel OM (statut initial: BROUILLON)</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Agent+</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/api/ordres/:id</w:t>
            </w:r>
          </w:p>
        </w:tc>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Détail d'un OM avec agent, taux, historique</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Authentifié</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/api/ordres/:id</w:t>
            </w:r>
          </w:p>
        </w:tc>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Modifier un OM (uniquement si BROUILLON)</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Agent+</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/api/ordres/:id</w:t>
            </w:r>
          </w:p>
        </w:tc>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Supprimer un OM (uniquement si BROUILLON)</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Agent+</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/api/ordres/:id/soumettre</w:t>
            </w:r>
          </w:p>
        </w:tc>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Passer BROUILLON → SOUMIS</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Agent+</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/api/ordres/:id/valider-n1</w:t>
            </w:r>
          </w:p>
        </w:tc>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Validation chef service → VALIDE_N1</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Chef service</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/api/ordres/:id/approuver</w:t>
            </w:r>
          </w:p>
        </w:tc>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Approbation DG → APPROUVE_DG</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Directeur</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/api/ordres/:id/rejeter</w:t>
            </w:r>
          </w:p>
        </w:tc>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Rejeter avec commentaire → REJETE</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Chef + DG</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/api/ordres/:id/pdf</w:t>
            </w:r>
          </w:p>
        </w:tc>
        <w:tc>
          <w:tcPr>
            <w:tcW w:type="dxa" w:w="3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Générer et retourner le PDF officiel</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Authentifié</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/api/ordres/:id/historique</w:t>
            </w:r>
          </w:p>
        </w:tc>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Journal des actions sur l'OM</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Authentifié</w:t>
            </w:r>
          </w:p>
        </w:tc>
      </w:tr>
    </w:tbl>
    <w:p>
      <w:pPr>
        <w:spacing w:after="0" w:before="120"/>
      </w:pPr>
    </w:p>
    <w:p>
      <w:pPr>
        <w:pStyle w:val="Heading2"/>
        <w:spacing w:after="150" w:before="300"/>
      </w:pPr>
      <w:r>
        <w:t xml:space="preserve">7.3 Endpoints — Paiements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200"/>
        <w:gridCol w:w="2426"/>
      </w:tblGrid>
      <w:tr>
        <w:trPr>
          <w:tblHeader/>
        </w:trPr>
        <w:tc>
          <w:tcPr>
            <w:tcW w:type="dxa" w:w="9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Méthode</w:t>
            </w:r>
          </w:p>
        </w:tc>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URL</w:t>
            </w:r>
          </w:p>
        </w:tc>
        <w:tc>
          <w:tcPr>
            <w:tcW w:type="dxa" w:w="3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c>
          <w:tcPr>
            <w:tcW w:type="dxa" w:w="24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Accès</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/api/paiements</w:t>
            </w:r>
          </w:p>
        </w:tc>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Liste des paiements avec statuts opérateurs</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DRH+</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/api/paiements/generer/moov</w:t>
            </w:r>
          </w:p>
        </w:tc>
        <w:tc>
          <w:tcPr>
            <w:tcW w:type="dxa" w:w="3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Générer fichier CSV Moov pour OM sélectionnés</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DRH+</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/api/paiements/generer/mtn</w:t>
            </w:r>
          </w:p>
        </w:tc>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Générer fichier CSV MTN pour OM sélectionnés</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DRH+</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/api/paiements/statuts</w:t>
            </w:r>
          </w:p>
        </w:tc>
        <w:tc>
          <w:tcPr>
            <w:tcW w:type="dxa" w:w="3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Tableau de bord statuts depuis retours opérateurs</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DRH+</w:t>
            </w:r>
          </w:p>
        </w:tc>
      </w:tr>
      <w:tr>
        <w:tc>
          <w:tcPr>
            <w:tcW w:type="dxa" w:w="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/api/paiements/reconcilier</w:t>
            </w:r>
          </w:p>
        </w:tc>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Upload fichier retour + rapprochement automatique</w:t>
            </w:r>
          </w:p>
        </w:tc>
        <w:tc>
          <w:tcPr>
            <w:tcW w:type="dxa" w:w="24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DRH+</w:t>
            </w:r>
          </w:p>
        </w:tc>
      </w:tr>
      <w:tr>
        <w:tc>
          <w:tcPr>
            <w:tcW w:type="dxa" w:w="9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/api/paiements/historique</w:t>
            </w:r>
          </w:p>
        </w:tc>
        <w:tc>
          <w:tcPr>
            <w:tcW w:type="dxa" w:w="3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Historique complet des virements</w:t>
            </w:r>
          </w:p>
        </w:tc>
        <w:tc>
          <w:tcPr>
            <w:tcW w:type="dxa" w:w="24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DRH+</w:t>
            </w:r>
          </w:p>
        </w:tc>
      </w:tr>
    </w:tbl>
    <w:p>
      <w:pPr>
        <w:spacing w:after="0" w:before="120"/>
      </w:pPr>
    </w:p>
    <w:p>
      <w:pPr>
        <w:pStyle w:val="Heading2"/>
        <w:spacing w:after="150" w:before="300"/>
      </w:pPr>
      <w:r>
        <w:t xml:space="preserve">7.4 Codes de réponse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Code</w:t>
            </w:r>
          </w:p>
        </w:tc>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Signification</w:t>
            </w:r>
          </w:p>
        </w:tc>
        <w:tc>
          <w:tcPr>
            <w:tcW w:type="dxa" w:w="45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Cas d'utilisation</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200 OK</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Succès</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GET, PUT réussis</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201 Created</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Ressource créée</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POST création d'un OM ou agent</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204 No Content</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Suppression réussie</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DELETE d'un OM brouillon</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400 Bad Request</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Données invalides</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Validation des champs échouée</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401 Unauthorized</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Non authentifié</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Token absent ou expiré</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403 Forbidden</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Accès interdit</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Permission insuffisante pour l'action</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404 Not Found</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Ressource introuvable</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OM ou agent avec cet ID inexistant</w:t>
            </w:r>
          </w:p>
        </w:tc>
      </w:tr>
      <w:tr>
        <w:tc>
          <w:tcPr>
            <w:tcW w:type="dxa" w:w="2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422 Unprocessable</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Erreur de validation</w:t>
            </w:r>
          </w:p>
        </w:tc>
        <w:tc>
          <w:tcPr>
            <w:tcW w:type="dxa" w:w="45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Champ requis manquant, date invalide</w:t>
            </w:r>
          </w:p>
        </w:tc>
      </w:tr>
      <w:tr>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500 Server Error</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Erreur serveur</w:t>
            </w:r>
          </w:p>
        </w:tc>
        <w:tc>
          <w:tcPr>
            <w:tcW w:type="dxa" w:w="45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Erreur interne inattendue</w:t>
            </w:r>
          </w:p>
        </w:tc>
      </w:tr>
    </w:tbl>
    <w:p>
      <w:r>
        <w:br w:type="page"/>
      </w:r>
    </w:p>
    <w:p>
      <w:pPr>
        <w:pStyle w:val="Heading1"/>
        <w:spacing w:after="200" w:before="400"/>
      </w:pPr>
      <w:r>
        <w:t xml:space="preserve">8. Intégrations Mobile Money</w:t>
      </w:r>
    </w:p>
    <w:p>
      <w:pPr>
        <w:pStyle w:val="Heading2"/>
        <w:spacing w:after="150" w:before="300"/>
      </w:pPr>
      <w:r>
        <w:t xml:space="preserve">8.1 Moov Africa Bénin</w:t>
      </w:r>
    </w:p>
    <w:p>
      <w:pPr>
        <w:spacing w:after="60" w:before="60"/>
      </w:pPr>
      <w:r>
        <w:rPr>
          <w:rFonts w:ascii="Arial" w:cs="Arial" w:eastAsia="Arial" w:hAnsi="Arial"/>
          <w:sz w:val="22"/>
          <w:szCs w:val="22"/>
        </w:rPr>
        <w:t xml:space="preserve">Le fichier de virement Moov est un fichier CSV avec séparateur point-virgule. Il est transmis manuellement via le portail entreprise Moov ou par API selon le contrat.</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563EB" w:sz="4"/>
              <w:left w:val="thick" w:color="2563EB" w:sz="12"/>
              <w:bottom w:val="single" w:color="2563EB" w:sz="4"/>
              <w:right w:val="single" w:color="2563EB" w:sz="1"/>
            </w:tcBorders>
            <w:shd w:fill="EFF6FF"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Format CSV Moov Africa :</w:t>
            </w:r>
          </w:p>
          <w:p>
            <w:pPr>
              <w:spacing w:after="40" w:before="40"/>
            </w:pPr>
            <w:r>
              <w:rPr>
                <w:rFonts w:ascii="Arial" w:cs="Arial" w:eastAsia="Arial" w:hAnsi="Arial"/>
                <w:color w:val="1F2937"/>
                <w:sz w:val="20"/>
                <w:szCs w:val="20"/>
              </w:rPr>
              <w:t xml:space="preserve">NUMERO_TELEPHONE;MONTANT;REFERENCE;NOM_BENEFICIAIRE;MOTIF</w:t>
            </w:r>
          </w:p>
          <w:p>
            <w:pPr>
              <w:spacing w:after="40" w:before="40"/>
            </w:pPr>
            <w:r>
              <w:rPr>
                <w:rFonts w:ascii="Arial" w:cs="Arial" w:eastAsia="Arial" w:hAnsi="Arial"/>
                <w:color w:val="1F2937"/>
                <w:sz w:val="20"/>
                <w:szCs w:val="20"/>
              </w:rPr>
              <w:t xml:space="preserve">22997123456;45000;OM-2026-0001;AMOUSSOU Jean;Per diem mission Parakou Jan 2026</w:t>
            </w:r>
          </w:p>
          <w:p>
            <w:pPr>
              <w:spacing w:after="40" w:before="40"/>
            </w:pPr>
            <w:r>
              <w:rPr>
                <w:rFonts w:ascii="Arial" w:cs="Arial" w:eastAsia="Arial" w:hAnsi="Arial"/>
                <w:color w:val="1F2937"/>
                <w:sz w:val="20"/>
                <w:szCs w:val="20"/>
              </w:rPr>
              <w:t xml:space="preserve">22997654321;30000;OM-2026-0002;DOSSOU Marie;Per diem mission Cotonou Jan 2026</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MONTANT : en FCFA, entier sans décimales</w:t>
            </w:r>
          </w:p>
          <w:p>
            <w:pPr>
              <w:spacing w:after="40" w:before="40"/>
            </w:pPr>
            <w:r>
              <w:rPr>
                <w:rFonts w:ascii="Arial" w:cs="Arial" w:eastAsia="Arial" w:hAnsi="Arial"/>
                <w:color w:val="1F2937"/>
                <w:sz w:val="20"/>
                <w:szCs w:val="20"/>
              </w:rPr>
              <w:t xml:space="preserve">REFERENCE : numéro OM unique (OM-AAAA-XXXX)</w:t>
            </w:r>
          </w:p>
          <w:p>
            <w:pPr>
              <w:spacing w:after="40" w:before="40"/>
            </w:pPr>
            <w:r>
              <w:rPr>
                <w:rFonts w:ascii="Arial" w:cs="Arial" w:eastAsia="Arial" w:hAnsi="Arial"/>
                <w:color w:val="1F2937"/>
                <w:sz w:val="20"/>
                <w:szCs w:val="20"/>
              </w:rPr>
              <w:t xml:space="preserve">NOM_BENEFICIAIRE : Nom Prénom de l'agent</w:t>
            </w:r>
          </w:p>
        </w:tc>
      </w:tr>
    </w:tbl>
    <w:p>
      <w:pPr>
        <w:spacing w:after="0" w:before="120"/>
      </w:pPr>
    </w:p>
    <w:p>
      <w:pPr>
        <w:pStyle w:val="Heading2"/>
        <w:spacing w:after="150" w:before="300"/>
      </w:pPr>
      <w:r>
        <w:t xml:space="preserve">8.2 MTN Bénin</w:t>
      </w:r>
    </w:p>
    <w:p>
      <w:pPr>
        <w:spacing w:after="60" w:before="60"/>
      </w:pPr>
      <w:r>
        <w:rPr>
          <w:rFonts w:ascii="Arial" w:cs="Arial" w:eastAsia="Arial" w:hAnsi="Arial"/>
          <w:sz w:val="22"/>
          <w:szCs w:val="22"/>
        </w:rPr>
        <w:t xml:space="preserve">Le fichier MTN utilise un format différent avec des en-têtes en anglais, conforme aux spécifications MoMo API de MTN.</w:t>
      </w:r>
    </w:p>
    <w:p>
      <w:pPr>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563EB" w:sz="4"/>
              <w:left w:val="thick" w:color="2563EB" w:sz="12"/>
              <w:bottom w:val="single" w:color="2563EB" w:sz="4"/>
              <w:right w:val="single" w:color="2563EB" w:sz="1"/>
            </w:tcBorders>
            <w:shd w:fill="EFF6FF"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Format CSV MTN Bénin :</w:t>
            </w:r>
          </w:p>
          <w:p>
            <w:pPr>
              <w:spacing w:after="40" w:before="40"/>
            </w:pPr>
            <w:r>
              <w:rPr>
                <w:rFonts w:ascii="Arial" w:cs="Arial" w:eastAsia="Arial" w:hAnsi="Arial"/>
                <w:color w:val="1F2937"/>
                <w:sz w:val="20"/>
                <w:szCs w:val="20"/>
              </w:rPr>
              <w:t xml:space="preserve">MSISDN;AMOUNT;EXTERNAL_REF;BENEFICIARY_NAME;NARRATION</w:t>
            </w:r>
          </w:p>
          <w:p>
            <w:pPr>
              <w:spacing w:after="40" w:before="40"/>
            </w:pPr>
            <w:r>
              <w:rPr>
                <w:rFonts w:ascii="Arial" w:cs="Arial" w:eastAsia="Arial" w:hAnsi="Arial"/>
                <w:color w:val="1F2937"/>
                <w:sz w:val="20"/>
                <w:szCs w:val="20"/>
              </w:rPr>
              <w:t xml:space="preserve">22961234567;45000;OM-2026-0001;AMOUSSOU Jean;Per diem mission</w:t>
            </w:r>
          </w:p>
          <w:p>
            <w:pPr>
              <w:spacing w:after="40" w:before="40"/>
            </w:pPr>
            <w:r>
              <w:rPr>
                <w:rFonts w:ascii="Arial" w:cs="Arial" w:eastAsia="Arial" w:hAnsi="Arial"/>
                <w:color w:val="1F2937"/>
                <w:sz w:val="20"/>
                <w:szCs w:val="20"/>
              </w:rPr>
              <w:t xml:space="preserve">22962345678;30000;OM-2026-0002;DOSSOU Marie;Per diem mission</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MSISDN : numéro MTN (229 + 8 chiffres)</w:t>
            </w:r>
          </w:p>
          <w:p>
            <w:pPr>
              <w:spacing w:after="40" w:before="40"/>
            </w:pPr>
            <w:r>
              <w:rPr>
                <w:rFonts w:ascii="Arial" w:cs="Arial" w:eastAsia="Arial" w:hAnsi="Arial"/>
                <w:color w:val="1F2937"/>
                <w:sz w:val="20"/>
                <w:szCs w:val="20"/>
              </w:rPr>
              <w:t xml:space="preserve">AMOUNT : montant en FCFA</w:t>
            </w:r>
          </w:p>
          <w:p>
            <w:pPr>
              <w:spacing w:after="40" w:before="40"/>
            </w:pPr>
            <w:r>
              <w:rPr>
                <w:rFonts w:ascii="Arial" w:cs="Arial" w:eastAsia="Arial" w:hAnsi="Arial"/>
                <w:color w:val="1F2937"/>
                <w:sz w:val="20"/>
                <w:szCs w:val="20"/>
              </w:rPr>
              <w:t xml:space="preserve">EXTERNAL_REF : référence unique (numéro OM)</w:t>
            </w:r>
          </w:p>
          <w:p>
            <w:pPr>
              <w:spacing w:after="40" w:before="40"/>
            </w:pPr>
            <w:r>
              <w:rPr>
                <w:rFonts w:ascii="Arial" w:cs="Arial" w:eastAsia="Arial" w:hAnsi="Arial"/>
                <w:color w:val="1F2937"/>
                <w:sz w:val="20"/>
                <w:szCs w:val="20"/>
              </w:rPr>
              <w:t xml:space="preserve">NARRATION : motif court du virement (max 50 caractères)</w:t>
            </w:r>
          </w:p>
        </w:tc>
      </w:tr>
    </w:tbl>
    <w:p>
      <w:pPr>
        <w:spacing w:after="0" w:before="120"/>
      </w:pPr>
    </w:p>
    <w:p>
      <w:pPr>
        <w:pStyle w:val="Heading2"/>
        <w:spacing w:after="150" w:before="300"/>
      </w:pPr>
      <w:r>
        <w:t xml:space="preserve">8.3 Gestion des erreurs de paiement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Code erreur</w:t>
            </w:r>
          </w:p>
        </w:tc>
        <w:tc>
          <w:tcPr>
            <w:tcW w:type="dxa" w:w="3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Signification</w:t>
            </w:r>
          </w:p>
        </w:tc>
        <w:tc>
          <w:tcPr>
            <w:tcW w:type="dxa" w:w="38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Action recommandée</w:t>
            </w:r>
          </w:p>
        </w:tc>
      </w:tr>
      <w:tr>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INVALID_MSISDN</w:t>
            </w:r>
          </w:p>
        </w:tc>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Numéro de téléphone invalide</w:t>
            </w:r>
          </w:p>
        </w:tc>
        <w:tc>
          <w:tcPr>
            <w:tcW w:type="dxa" w:w="3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Vérifier/corriger le numéro dans la fiche agent</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INSUFFICIENT_BALANCE</w:t>
            </w:r>
          </w:p>
        </w:tc>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Solde insuffisant côté opérateur</w:t>
            </w:r>
          </w:p>
        </w:tc>
        <w:tc>
          <w:tcPr>
            <w:tcW w:type="dxa" w:w="38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Contacter Moov/MTN pour approvisionner</w:t>
            </w:r>
          </w:p>
        </w:tc>
      </w:tr>
      <w:tr>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USER_NOT_FOUND</w:t>
            </w:r>
          </w:p>
        </w:tc>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Numéro non enregistré chez l'opérateur</w:t>
            </w:r>
          </w:p>
        </w:tc>
        <w:tc>
          <w:tcPr>
            <w:tcW w:type="dxa" w:w="3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Demander à l'agent de changer de numéro</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DUPLICATE_REF</w:t>
            </w:r>
          </w:p>
        </w:tc>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Référence déjà traitée</w:t>
            </w:r>
          </w:p>
        </w:tc>
        <w:tc>
          <w:tcPr>
            <w:tcW w:type="dxa" w:w="38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Ne pas retraiter — vérifier si déjà payé</w:t>
            </w:r>
          </w:p>
        </w:tc>
      </w:tr>
      <w:tr>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TIMEOUT</w:t>
            </w:r>
          </w:p>
        </w:tc>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Délai d'expiration dépassé</w:t>
            </w:r>
          </w:p>
        </w:tc>
        <w:tc>
          <w:tcPr>
            <w:tcW w:type="dxa" w:w="38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Relancer avec le même fichier après 24h</w:t>
            </w:r>
          </w:p>
        </w:tc>
      </w:tr>
    </w:tbl>
    <w:p>
      <w:r>
        <w:br w:type="page"/>
      </w:r>
    </w:p>
    <w:p>
      <w:pPr>
        <w:pStyle w:val="Heading1"/>
        <w:spacing w:after="200" w:before="400"/>
      </w:pPr>
      <w:r>
        <w:t xml:space="preserve">9. Environnements et Déploiement</w:t>
      </w:r>
    </w:p>
    <w:p>
      <w:pPr>
        <w:pStyle w:val="Heading2"/>
        <w:spacing w:after="150" w:before="300"/>
      </w:pPr>
      <w:r>
        <w:t xml:space="preserve">9.1 Environnements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300"/>
        <w:gridCol w:w="2026"/>
      </w:tblGrid>
      <w:tr>
        <w:trPr>
          <w:tblHeader/>
        </w:trPr>
        <w:tc>
          <w:tcPr>
            <w:tcW w:type="dxa" w:w="22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Environnement</w:t>
            </w:r>
          </w:p>
        </w:tc>
        <w:tc>
          <w:tcPr>
            <w:tcW w:type="dxa" w:w="25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URL</w:t>
            </w:r>
          </w:p>
        </w:tc>
        <w:tc>
          <w:tcPr>
            <w:tcW w:type="dxa" w:w="23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Usage</w:t>
            </w:r>
          </w:p>
        </w:tc>
        <w:tc>
          <w:tcPr>
            <w:tcW w:type="dxa" w:w="20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Base de données</w:t>
            </w:r>
          </w:p>
        </w:tc>
      </w:tr>
      <w:tr>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Développement (local)</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http://localhost:5173</w:t>
            </w:r>
          </w:p>
        </w:tc>
        <w:tc>
          <w:tcPr>
            <w:tcW w:type="dxa" w:w="23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Développeurs — données de test</w:t>
            </w:r>
          </w:p>
        </w:tc>
        <w:tc>
          <w:tcPr>
            <w:tcW w:type="dxa" w:w="2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SQLite / MySQL local</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Préproduction</w:t>
            </w:r>
          </w:p>
        </w:tc>
        <w:tc>
          <w:tcPr>
            <w:tcW w:type="dxa" w:w="25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https://preprod.anatt-missions.bj</w:t>
            </w:r>
          </w:p>
        </w:tc>
        <w:tc>
          <w:tcPr>
            <w:tcW w:type="dxa" w:w="23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Recette et validation utilisateurs</w:t>
            </w:r>
          </w:p>
        </w:tc>
        <w:tc>
          <w:tcPr>
            <w:tcW w:type="dxa" w:w="2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MySQL préproduction</w:t>
            </w:r>
          </w:p>
        </w:tc>
      </w:tr>
      <w:tr>
        <w:tc>
          <w:tcPr>
            <w:tcW w:type="dxa" w:w="2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Production</w:t>
            </w:r>
          </w:p>
        </w:tc>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https://missions.anatt.bj</w:t>
            </w:r>
          </w:p>
        </w:tc>
        <w:tc>
          <w:tcPr>
            <w:tcW w:type="dxa" w:w="23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Usage opérationnel ANaTT</w:t>
            </w:r>
          </w:p>
        </w:tc>
        <w:tc>
          <w:tcPr>
            <w:tcW w:type="dxa" w:w="2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MySQL production sécurisée</w:t>
            </w:r>
          </w:p>
        </w:tc>
      </w:tr>
    </w:tbl>
    <w:p>
      <w:pPr>
        <w:spacing w:after="0" w:before="120"/>
      </w:pPr>
    </w:p>
    <w:p>
      <w:pPr>
        <w:pStyle w:val="Heading2"/>
        <w:spacing w:after="150" w:before="300"/>
      </w:pPr>
      <w:r>
        <w:t xml:space="preserve">9.2 Variables d'environnement critiques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Variable</w:t>
            </w:r>
          </w:p>
        </w:tc>
        <w:tc>
          <w:tcPr>
            <w:tcW w:type="dxa" w:w="50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APP_URL</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URL de base de l'API Laravel</w:t>
            </w:r>
          </w:p>
        </w:tc>
      </w:tr>
      <w:tr>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DB_DATABASE / DB_USERNAME / DB_PASSWORD</w:t>
            </w:r>
          </w:p>
        </w:tc>
        <w:tc>
          <w:tcPr>
            <w:tcW w:type="dxa" w:w="5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Connexion MySQL</w:t>
            </w:r>
          </w:p>
        </w:tc>
      </w:tr>
      <w:tr>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REDIS_HOST / REDIS_PORT</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Connexion Redis (cache et queues)</w:t>
            </w:r>
          </w:p>
        </w:tc>
      </w:tr>
      <w:tr>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MAIL_MAILER / MAIL_HOST / MAIL_FROM_ADDRESS</w:t>
            </w:r>
          </w:p>
        </w:tc>
        <w:tc>
          <w:tcPr>
            <w:tcW w:type="dxa" w:w="5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Configuration SMTP email</w:t>
            </w:r>
          </w:p>
        </w:tc>
      </w:tr>
      <w:tr>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MOOV_API_URL / MOOV_API_KEY</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Credentials API Moov Africa</w:t>
            </w:r>
          </w:p>
        </w:tc>
      </w:tr>
      <w:tr>
        <w:tc>
          <w:tcPr>
            <w:tcW w:type="dxa" w:w="4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MTN_API_URL / MTN_SUBSCRIPTION_KEY</w:t>
            </w:r>
          </w:p>
        </w:tc>
        <w:tc>
          <w:tcPr>
            <w:tcW w:type="dxa" w:w="5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Credentials API MTN Bénin</w:t>
            </w:r>
          </w:p>
        </w:tc>
      </w:tr>
      <w:tr>
        <w:tc>
          <w:tcPr>
            <w:tcW w:type="dxa" w:w="4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SANCTUM_STATEFUL_DOMAINS</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Domaines autorisés pour les cookies SPA</w:t>
            </w:r>
          </w:p>
        </w:tc>
      </w:tr>
    </w:tbl>
    <w:p>
      <w:pPr>
        <w:spacing w:after="0" w:before="120"/>
      </w:pPr>
    </w:p>
    <w:p>
      <w:pPr>
        <w:pStyle w:val="Heading2"/>
        <w:spacing w:after="150" w:before="300"/>
      </w:pPr>
      <w:r>
        <w:t xml:space="preserve">9.3 Commandes de démarrage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4"/>
              <w:left w:val="thick" w:color="9CA3AF" w:sz="12"/>
              <w:bottom w:val="single" w:color="9CA3AF" w:sz="4"/>
              <w:right w:val="single" w:color="9CA3AF" w:sz="1"/>
            </w:tcBorders>
            <w:shd w:fill="F9FAFB" w:val="clear"/>
            <w:tcMar>
              <w:top w:type="dxa" w:w="120"/>
              <w:left w:type="dxa" w:w="200"/>
              <w:bottom w:type="dxa" w:w="120"/>
              <w:right w:type="dxa" w:w="120"/>
            </w:tcMar>
          </w:tcPr>
          <w:p>
            <w:pPr>
              <w:spacing w:after="40" w:before="40"/>
            </w:pPr>
            <w:r>
              <w:rPr>
                <w:rFonts w:ascii="Arial" w:cs="Arial" w:eastAsia="Arial" w:hAnsi="Arial"/>
                <w:color w:val="1F2937"/>
                <w:sz w:val="20"/>
                <w:szCs w:val="20"/>
              </w:rPr>
              <w:t xml:space="preserve"># Démarrage complet avec Docker :</w:t>
            </w:r>
          </w:p>
          <w:p>
            <w:pPr>
              <w:spacing w:after="40" w:before="40"/>
            </w:pPr>
            <w:r>
              <w:rPr>
                <w:rFonts w:ascii="Arial" w:cs="Arial" w:eastAsia="Arial" w:hAnsi="Arial"/>
                <w:color w:val="1F2937"/>
                <w:sz w:val="20"/>
                <w:szCs w:val="20"/>
              </w:rPr>
              <w:t xml:space="preserve">docker-compose up -d</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 Frontend (développement) :</w:t>
            </w:r>
          </w:p>
          <w:p>
            <w:pPr>
              <w:spacing w:after="40" w:before="40"/>
            </w:pPr>
            <w:r>
              <w:rPr>
                <w:rFonts w:ascii="Arial" w:cs="Arial" w:eastAsia="Arial" w:hAnsi="Arial"/>
                <w:color w:val="1F2937"/>
                <w:sz w:val="20"/>
                <w:szCs w:val="20"/>
              </w:rPr>
              <w:t xml:space="preserve">cd frontend &amp;&amp; npm install &amp;&amp; npm run dev</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 Backend (développement) :</w:t>
            </w:r>
          </w:p>
          <w:p>
            <w:pPr>
              <w:spacing w:after="40" w:before="40"/>
            </w:pPr>
            <w:r>
              <w:rPr>
                <w:rFonts w:ascii="Arial" w:cs="Arial" w:eastAsia="Arial" w:hAnsi="Arial"/>
                <w:color w:val="1F2937"/>
                <w:sz w:val="20"/>
                <w:szCs w:val="20"/>
              </w:rPr>
              <w:t xml:space="preserve">cd backend &amp;&amp; composer install &amp;&amp; php artisan migrate --seed &amp;&amp; php artisan serve</w:t>
            </w:r>
          </w:p>
          <w:p>
            <w:pPr>
              <w:spacing w:after="40" w:before="40"/>
            </w:pPr>
            <w:r>
              <w:rPr>
                <w:rFonts w:ascii="Arial" w:cs="Arial" w:eastAsia="Arial" w:hAnsi="Arial"/>
                <w:color w:val="1F2937"/>
                <w:sz w:val="20"/>
                <w:szCs w:val="20"/>
              </w:rPr>
              <w:t xml:space="preserve"/>
            </w:r>
          </w:p>
          <w:p>
            <w:pPr>
              <w:spacing w:after="40" w:before="40"/>
            </w:pPr>
            <w:r>
              <w:rPr>
                <w:rFonts w:ascii="Arial" w:cs="Arial" w:eastAsia="Arial" w:hAnsi="Arial"/>
                <w:color w:val="1F2937"/>
                <w:sz w:val="20"/>
                <w:szCs w:val="20"/>
              </w:rPr>
              <w:t xml:space="preserve"># Worker queue (paiements et emails asynchrones) :</w:t>
            </w:r>
          </w:p>
          <w:p>
            <w:pPr>
              <w:spacing w:after="40" w:before="40"/>
            </w:pPr>
            <w:r>
              <w:rPr>
                <w:rFonts w:ascii="Arial" w:cs="Arial" w:eastAsia="Arial" w:hAnsi="Arial"/>
                <w:color w:val="1F2937"/>
                <w:sz w:val="20"/>
                <w:szCs w:val="20"/>
              </w:rPr>
              <w:t xml:space="preserve">php artisan queue:work --queue=paiements,emails,default</w:t>
            </w:r>
          </w:p>
        </w:tc>
      </w:tr>
    </w:tbl>
    <w:p>
      <w:r>
        <w:br w:type="page"/>
      </w:r>
    </w:p>
    <w:p>
      <w:pPr>
        <w:pStyle w:val="Heading1"/>
        <w:spacing w:after="200" w:before="400"/>
      </w:pPr>
      <w:r>
        <w:t xml:space="preserve">10. 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Terme</w:t>
            </w:r>
          </w:p>
        </w:tc>
        <w:tc>
          <w:tcPr>
            <w:tcW w:type="dxa" w:w="6026"/>
            <w:tcBorders>
              <w:top w:val="single" w:color="9CA3AF" w:sz="1"/>
              <w:left w:val="single" w:color="9CA3AF" w:sz="1"/>
              <w:bottom w:val="single" w:color="9CA3AF" w:sz="1"/>
              <w:right w:val="single" w:color="9CA3AF" w:sz="1"/>
            </w:tcBorders>
            <w:shd w:fill="0A3D1F"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ANaTT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Agence Nationale des Transports Terrestres — République du Bénin</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SGOM</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Système de Gestion des Ordres de Mission (cette application)</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OM</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Ordre de Mission — document administratif autorisant un déplacement professionnel</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Per Diem</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Indemnité journalière couvrant les frais de séjour lors d'une mission</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Mobile Money</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Service de transfert d'argent via téléphone mobile (Moov, MTN)</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N+1</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Supérieur hiérarchique direct (chef de service)</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DG</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Directeur Général — validateur final des ordres de mission</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DRH</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Direction des Ressources Humaines — gestionnaire des paiements</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FCFA</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Franc CFA — monnaie de la République du Bénin</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CSV</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Comma-Separated Values — format de fichier texte pour les données tabulaires</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API REST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Interface de programmation permettant la communication entre frontend et backend</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SPA</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Single Page Application — application web chargeant une seule page HTML</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Token Sanctum</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Jeton d'authentification Laravel Sanctum — sécurise les requêtes API</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Réconciliation</w:t>
            </w:r>
          </w:p>
        </w:tc>
        <w:tc>
          <w:tcPr>
            <w:tcW w:type="dxa" w:w="6026"/>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vAlign w:val="center"/>
          </w:tcPr>
          <w:p>
            <w:r>
              <w:rPr>
                <w:rFonts w:ascii="Arial" w:cs="Arial" w:eastAsia="Arial" w:hAnsi="Arial"/>
                <w:sz w:val="20"/>
                <w:szCs w:val="20"/>
              </w:rPr>
              <w:t xml:space="preserve">Rapprochement entre les paiements envoyés et les confirmations opérateur</w:t>
            </w:r>
          </w:p>
        </w:tc>
      </w:tr>
      <w:tr>
        <w:tc>
          <w:tcPr>
            <w:tcW w:type="dxa" w:w="3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Per diem catégorie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Niveau d'indemnité selon la classification administrative de l'agent (A1, A2, B, C, D)</w:t>
            </w:r>
          </w:p>
        </w:tc>
      </w:tr>
    </w:tbl>
    <w:p>
      <w:pPr>
        <w:spacing w:after="0" w:before="200"/>
      </w:pPr>
    </w:p>
    <w:p>
      <w:pPr>
        <w:pBdr>
          <w:bottom w:val="single" w:color="1D9E4F" w:sz="6" w:space="1"/>
        </w:pBdr>
        <w:spacing w:after="160" w:before="160"/>
      </w:pPr>
    </w:p>
    <w:p>
      <w:pPr>
        <w:spacing w:after="60" w:before="160"/>
        <w:jc w:val="center"/>
      </w:pPr>
      <w:r>
        <w:rPr>
          <w:rFonts w:ascii="Arial" w:cs="Arial" w:eastAsia="Arial" w:hAnsi="Arial"/>
          <w:i/>
          <w:iCs/>
          <w:color w:val="6B7280"/>
          <w:sz w:val="18"/>
          <w:szCs w:val="18"/>
        </w:rPr>
        <w:t xml:space="preserve">Document élaboré par la Direction des Systèmes d'Information — ANaTT</w:t>
      </w:r>
    </w:p>
    <w:p>
      <w:pPr>
        <w:spacing w:after="60" w:before="60"/>
        <w:jc w:val="center"/>
      </w:pPr>
      <w:r>
        <w:rPr>
          <w:rFonts w:ascii="Arial" w:cs="Arial" w:eastAsia="Arial" w:hAnsi="Arial"/>
          <w:color w:val="6B7280"/>
          <w:sz w:val="18"/>
          <w:szCs w:val="18"/>
        </w:rPr>
        <w:t xml:space="preserve">Agence Nationale des Transports Terrestres — République du Bénin — Avril 2026</w:t>
      </w:r>
    </w:p>
    <w:sectPr>
      <w:headerReference w:type="default" r:id="rId7"/>
      <w:footerReference w:type="default" r:id="rId8"/>
      <w:pgSz w:w="11906" w:h="16838" w:orient="portrait"/>
      <w:pgMar w:top="1200" w:right="120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4F" w:sz="4" w:space="4"/>
      </w:pBdr>
      <w:spacing w:before="80"/>
    </w:pPr>
    <w:r>
      <w:rPr>
        <w:rFonts w:ascii="Arial" w:cs="Arial" w:eastAsia="Arial" w:hAnsi="Arial"/>
        <w:color w:val="6B7280"/>
        <w:sz w:val="16"/>
        <w:szCs w:val="16"/>
      </w:rPr>
      <w:t xml:space="preserve">ANaTT — République du Bénin  |  Système de Gestion des Ordres de Mission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66"/>
      <w:tblBorders>
        <w:top w:val="single" w:color="auto" w:sz="4"/>
        <w:left w:val="single" w:color="auto" w:sz="4"/>
        <w:bottom w:val="single" w:color="auto" w:sz="4"/>
        <w:right w:val="single" w:color="auto" w:sz="4"/>
        <w:insideH w:val="single" w:color="auto" w:sz="4"/>
        <w:insideV w:val="single" w:color="auto" w:sz="4"/>
      </w:tblBorders>
    </w:tblPr>
    <w:tblGrid>
      <w:gridCol w:w="6000"/>
      <w:gridCol w:w="3266"/>
    </w:tblGrid>
    <w:tr>
      <w:tc>
        <w:tcPr>
          <w:tcW w:type="dxa" w:w="6000"/>
          <w:tcBorders>
            <w:top w:val="nil"/>
            <w:left w:val="nil"/>
            <w:bottom w:val="single" w:color="1D9E4F" w:sz="4"/>
            <w:right w:val="nil"/>
          </w:tcBorders>
          <w:tcMar>
            <w:top w:type="dxa" w:w="60"/>
            <w:left w:type="dxa" w:w="0"/>
            <w:bottom w:type="dxa" w:w="60"/>
            <w:right w:type="dxa" w:w="120"/>
          </w:tcMar>
        </w:tcPr>
        <w:p>
          <w:r>
            <w:rPr>
              <w:rFonts w:ascii="Arial" w:cs="Arial" w:eastAsia="Arial" w:hAnsi="Arial"/>
              <w:color w:val="6B7280"/>
              <w:sz w:val="16"/>
              <w:szCs w:val="16"/>
            </w:rPr>
            <w:t xml:space="preserve">ANaTT — Documentation Technique et Fonctionnelle</w:t>
          </w:r>
        </w:p>
      </w:tc>
      <w:tc>
        <w:tcPr>
          <w:tcW w:type="dxa" w:w="3266"/>
          <w:tcBorders>
            <w:top w:val="nil"/>
            <w:left w:val="nil"/>
            <w:bottom w:val="single" w:color="1D9E4F" w:sz="4"/>
            <w:right w:val="nil"/>
          </w:tcBorders>
          <w:tcMar>
            <w:top w:type="dxa" w:w="60"/>
            <w:left w:type="dxa" w:w="120"/>
            <w:bottom w:type="dxa" w:w="60"/>
            <w:right w:type="dxa" w:w="0"/>
          </w:tcMar>
        </w:tcPr>
        <w:p>
          <w:pPr>
            <w:jc w:val="right"/>
          </w:pPr>
          <w:r>
            <w:rPr>
              <w:rFonts w:ascii="Arial" w:cs="Arial" w:eastAsia="Arial" w:hAnsi="Arial"/>
              <w:color w:val="6B7280"/>
              <w:sz w:val="16"/>
              <w:szCs w:val="16"/>
            </w:rPr>
            <w:t xml:space="preserve">SGOM v1.0 — Avril 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4F" w:sz="4" w:space="4"/>
      </w:pBdr>
      <w:spacing w:after="200" w:before="400"/>
      <w:outlineLvl w:val="0"/>
    </w:pPr>
    <w:rPr>
      <w:rFonts w:ascii="Arial" w:cs="Arial" w:eastAsia="Arial" w:hAnsi="Arial"/>
      <w:b/>
      <w:bCs/>
      <w:color w:val="0A3D1F"/>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D9E4F"/>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2026-04-01T19:04:21.391Z</dcterms:created>
  <dcterms:modified xsi:type="dcterms:W3CDTF">2026-04-01T19:04:21.395Z</dcterms:modified>
</cp:coreProperties>
</file>

<file path=docProps/custom.xml><?xml version="1.0" encoding="utf-8"?>
<Properties xmlns="http://schemas.openxmlformats.org/officeDocument/2006/custom-properties" xmlns:vt="http://schemas.openxmlformats.org/officeDocument/2006/docPropsVTypes"/>
</file>