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L'écran présente les notifications réellement envoyées, avec leurs destinataires.</w:t>
            </w:r>
          </w:p>
        </w:tc>
        <w:tc>
          <w:tcPr>
            <w:tcW w:type="dxa" w:w="1247"/>
          </w:tcPr>
          <w:p>
            <w:r/>
            <w:r>
              <w:rPr>
                <w:b w:val="0"/>
                <w:sz w:val="20"/>
              </w:rPr>
              <w:t>13.2</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Dans le menu Paiements, ouvrez « Générer MTN » ou « Générer Moov ».</w:t>
      </w:r>
    </w:p>
    <w:p>
      <w:pPr>
        <w:pStyle w:val="ListNumber"/>
        <w:numPr>
          <w:ilvl w:val="0"/>
          <w:numId w:val="17"/>
        </w:numPr>
      </w:pPr>
      <w:r>
        <w:t>Sélectionnez la mission et la tranche (AVANCE ou RELIQUAT) : l'« Aperçu des bénéficiaires » éligibles s'affiche aussitôt.</w:t>
      </w:r>
    </w:p>
    <w:p>
      <w:pPr>
        <w:pStyle w:val="ListNumber"/>
        <w:numPr>
          <w:ilvl w:val="0"/>
          <w:numId w:val="17"/>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sur l'écran de génération et cliquez sur « Confirmer le paiement ».</w:t>
      </w:r>
    </w:p>
    <w:p>
      <w:pPr>
        <w:pStyle w:val="ListNumber"/>
        <w:numPr>
          <w:ilvl w:val="0"/>
          <w:numId w:val="18"/>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 Le fuseau horaire (heure du Bénin) y est affiché pour information : il est réglé sur le serveur.</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 L'écran liste les sept notifications envoyées (état à signer, état validé ou rejeté, OM validé ou rejeté, lot confirmé, trop-perçu créé) avec la permission de leurs destinataires.</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