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 w:space="4" w:color="D9A441"/>
          <w:bottom w:val="single" w:sz="6" w:space="4" w:color="D9A441"/>
        </w:pBdr>
        <w:shd w:val="clear" w:color="auto" w:fill="FBF0DA"/>
        <w:spacing w:before="120" w:after="160"/>
      </w:pPr>
      <w:r>
        <w:rPr>
          <w:b/>
          <w:color w:val="8A5A12"/>
          <w:sz w:val="18"/>
        </w:rPr>
        <w:t xml:space="preserve">[ Mise à jour — juillet 2026 ] </w:t>
      </w:r>
      <w:r>
        <w:rPr>
          <w:color w:val="8A5A12"/>
          <w:sz w:val="18"/>
        </w:rPr>
        <w:t xml:space="preserve">Compteurs réels du code à cette date : 53 pages frontend (7 espaces) · 25 modules · 127 endpoints REST + 1 canal WebSocket · 4 langues (FR · EN · FON · YOR ; Baatɔnum/Dendi retirés, anglais ajouté). Le registre des écrans ci-dessous reflète le périmètre de conception initial.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8891A"/>
          <w:sz w:val="22"/>
          <w:szCs w:val="22"/>
        </w:rPr>
        <w:t xml:space="preserve">PROGRAMME NEXT IMPACT</w:t>
      </w:r>
    </w:p>
    <w:p>
      <w:pPr>
        <w:spacing w:after="80"/>
        <w:jc w:val="center"/>
      </w:pPr>
      <w:r>
        <w:rPr>
          <w:color w:val="57534E"/>
          <w:sz w:val="18"/>
          <w:szCs w:val="18"/>
        </w:rPr>
        <w:t xml:space="preserve">FP2E · Sèmè City · Banque Mondiale — République du Bénin</w:t>
      </w:r>
    </w:p>
    <w:p>
      <w:pPr>
        <w:pBdr>
          <w:bottom w:val="single" w:color="C2542B" w:sz="12" w:space="8"/>
        </w:pBdr>
        <w:spacing w:after="0" w:before="300"/>
        <w:jc w:val="center"/>
      </w:pPr>
      <w:r>
        <w:rPr>
          <w:rFonts w:ascii="Arial" w:cs="Arial" w:eastAsia="Arial" w:hAnsi="Arial"/>
          <w:b/>
          <w:bCs/>
          <w:color w:val="0E3120"/>
          <w:sz w:val="56"/>
          <w:szCs w:val="56"/>
        </w:rPr>
        <w:t xml:space="preserve">DIGISANTÉ MOBILE</w:t>
      </w:r>
    </w:p>
    <w:p>
      <w:pPr>
        <w:spacing w:after="60" w:before="200"/>
        <w:jc w:val="center"/>
      </w:pPr>
      <w:r>
        <w:rPr>
          <w:b/>
          <w:bCs/>
          <w:color w:val="C2542B"/>
          <w:sz w:val="32"/>
          <w:szCs w:val="32"/>
        </w:rPr>
        <w:t xml:space="preserve">SPÉCIFICATIONS D’INTERFACE UTILISATEUR (UI)</w:t>
      </w:r>
    </w:p>
    <w:p>
      <w:pPr>
        <w:spacing w:after="400"/>
        <w:jc w:val="center"/>
      </w:pPr>
      <w:r>
        <w:rPr>
          <w:i/>
          <w:iCs/>
          <w:color w:val="57534E"/>
          <w:sz w:val="22"/>
          <w:szCs w:val="22"/>
        </w:rPr>
        <w:t xml:space="preserve">Design System v2 « Wax &amp; Terre » — 26 écrans mobiles PWA + 7 vues d’administration desktop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DigiSanté Mobile — Plateforme e-santé PWA, offline-first et multilingue</w:t>
            </w:r>
          </w:p>
        </w:tc>
      </w:tr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Programme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 IMPACT — Convention FP2E/NI/IDÉ/2025</w:t>
            </w:r>
          </w:p>
        </w:tc>
      </w:tr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Porteur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SEGLA E. Ulrich Gislain — Développeur full-stack</w:t>
            </w:r>
          </w:p>
        </w:tc>
      </w:tr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Spécifications UI — annexe technique au Cahier des charges v1.0</w:t>
            </w:r>
          </w:p>
        </w:tc>
      </w:tr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v2.0 — Design « Wax &amp; Terre »</w:t>
            </w:r>
          </w:p>
        </w:tc>
      </w:tr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juin 2026</w:t>
            </w:r>
          </w:p>
        </w:tc>
      </w:tr>
      <w:tr>
        <w:tc>
          <w:tcPr>
            <w:tcW w:type="dxa" w:w="2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F3EC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Diffusion</w:t>
            </w:r>
          </w:p>
        </w:tc>
        <w:tc>
          <w:tcPr>
            <w:tcW w:type="dxa" w:w="6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Équipe projet · Comité NEXT IMPACT · AT Fiduciaire</w:t>
            </w:r>
          </w:p>
        </w:tc>
      </w:tr>
    </w:tbl>
    <w:p>
      <w:pPr>
        <w:pBdr>
          <w:top w:val="single" w:color="B8891A" w:sz="10" w:space="10"/>
        </w:pBdr>
        <w:spacing w:before="500"/>
        <w:jc w:val="center"/>
      </w:pPr>
      <w:r>
        <w:rPr>
          <w:i/>
          <w:iCs/>
          <w:color w:val="57534E"/>
          <w:sz w:val="18"/>
          <w:szCs w:val="18"/>
        </w:rPr>
        <w:t xml:space="preserve">Document conforme aux exigences d’audit du programme NEXT IMPACT</w:t>
      </w:r>
    </w:p>
    <w:p>
      <w:pPr>
        <w:jc w:val="center"/>
      </w:pPr>
      <w:r>
        <w:rPr>
          <w:color w:val="57534E"/>
          <w:sz w:val="18"/>
          <w:szCs w:val="18"/>
        </w:rPr>
        <w:t xml:space="preserve">République du Bénin 🇧🇯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Objet et périmètre du document</w:t>
      </w:r>
    </w:p>
    <w:p>
      <w:pPr>
        <w:spacing w:after="120" w:line="300"/>
        <w:jc w:val="both"/>
      </w:pPr>
      <w:r>
        <w:t xml:space="preserve">Le présent document spécifie l’interface utilisateur de </w:t>
      </w:r>
      <w:r>
        <w:rPr>
          <w:b/>
          <w:bCs/>
        </w:rPr>
        <w:t xml:space="preserve">DigiSanté Mobile</w:t>
      </w:r>
      <w:r>
        <w:t xml:space="preserve">, application web progressive (PWA) de santé numérique pour le Bénin. Il constitue la référence visuelle et ergonomique opposable pour le développement frontend (Next.js 14 + Tailwind CSS) et complète le Cahier des charges technique &amp; fonctionnel v1.0 ainsi que la Documentation technique v2.</w:t>
      </w:r>
    </w:p>
    <w:p>
      <w:pPr>
        <w:spacing w:after="120" w:line="300"/>
        <w:jc w:val="both"/>
      </w:pPr>
      <w:r>
        <w:t xml:space="preserve">Il couvre :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l’identité visuelle </w:t>
      </w:r>
      <w:r>
        <w:rPr>
          <w:b/>
          <w:bCs/>
        </w:rPr>
        <w:t xml:space="preserve">« Wax &amp; Terre »</w:t>
      </w:r>
      <w:r>
        <w:t xml:space="preserve"> (palette, typographie, motifs textiles africains en CSS pur) 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 registre exhaustif des </w:t>
      </w:r>
      <w:r>
        <w:rPr>
          <w:b/>
          <w:bCs/>
        </w:rPr>
        <w:t xml:space="preserve">26 écrans mobiles</w:t>
      </w:r>
      <w:r>
        <w:t xml:space="preserve"> (D-01 → D-26) et des </w:t>
      </w:r>
      <w:r>
        <w:rPr>
          <w:b/>
          <w:bCs/>
        </w:rPr>
        <w:t xml:space="preserve">7 vues d’administration desktop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les règles de multilinguisme (français, anglais, Fɔ̀ngbè, Yorùbá) 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les règles de responsivité PWA, de performance sur réseaux 2G/3G et de mode hors-ligne 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les exigences d’accessibilité et de conformité à la Loi n°2017-20 (APDP Bénin) traduites dans l’interface.</w:t>
      </w:r>
    </w:p>
    <w:p>
      <w:pPr>
        <w:spacing w:after="120" w:line="300"/>
        <w:jc w:val="both"/>
      </w:pPr>
      <w:r>
        <w:t xml:space="preserve">Les prototypes HTML haute-fidélité (Tailwind CDN, 390×844 px) listés en section 10 font foi pour tout détail non explicité ici.</w:t>
      </w:r>
    </w:p>
    <w:p>
      <w:pPr>
        <w:pStyle w:val="Heading1"/>
      </w:pPr>
      <w:r>
        <w:t xml:space="preserve">2. Identité visuelle « Wax &amp; Terre »</w:t>
      </w:r>
    </w:p>
    <w:p>
      <w:pPr>
        <w:pStyle w:val="Heading2"/>
      </w:pPr>
      <w:r>
        <w:t xml:space="preserve">2.1 Concept</w:t>
      </w:r>
    </w:p>
    <w:p>
      <w:pPr>
        <w:spacing w:after="120" w:line="300"/>
        <w:jc w:val="both"/>
      </w:pPr>
      <w:r>
        <w:t xml:space="preserve">Le design s’appuie sur les arts textiles ouest-africains — </w:t>
      </w:r>
      <w:r>
        <w:rPr>
          <w:b/>
          <w:bCs/>
        </w:rPr>
        <w:t xml:space="preserve">bogolan</w:t>
      </w:r>
      <w:r>
        <w:t xml:space="preserve"> (toile de boue), </w:t>
      </w:r>
      <w:r>
        <w:rPr>
          <w:b/>
          <w:bCs/>
        </w:rPr>
        <w:t xml:space="preserve">wax</w:t>
      </w:r>
      <w:r>
        <w:t xml:space="preserve"> (cercles concentriques), </w:t>
      </w:r>
      <w:r>
        <w:rPr>
          <w:b/>
          <w:bCs/>
        </w:rPr>
        <w:t xml:space="preserve">kenté</w:t>
      </w:r>
      <w:r>
        <w:t xml:space="preserve"> (frise tissée) et symboles </w:t>
      </w:r>
      <w:r>
        <w:rPr>
          <w:b/>
          <w:bCs/>
        </w:rPr>
        <w:t xml:space="preserve">adinkra</w:t>
      </w:r>
      <w:r>
        <w:t xml:space="preserve"> — rendus exclusivement en CSS et SVG inline (data-URI &lt; 1 Ko). Aucune image bitmap n’est utilisée : </w:t>
      </w:r>
      <w:r>
        <w:rPr>
          <w:b/>
          <w:bCs/>
        </w:rPr>
        <w:t xml:space="preserve">zéro requête réseau pour les motifs</w:t>
      </w:r>
      <w:r>
        <w:t xml:space="preserve">, un atout décisif sur les connexions 2G/3G des zones rurales béninoises et pour la mise en cache du service worker.</w:t>
      </w:r>
    </w:p>
    <w:p>
      <w:pPr>
        <w:pStyle w:val="Heading2"/>
      </w:pPr>
      <w:r>
        <w:t xml:space="preserve">2.2 Signatures « fait main »</w:t>
      </w:r>
    </w:p>
    <w:p>
      <w:pPr>
        <w:spacing w:after="120" w:line="300"/>
        <w:jc w:val="both"/>
      </w:pPr>
      <w:r>
        <w:t xml:space="preserve">Cinq procédés cassent volontairement la perfection géométrique des interfaces génériques 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Coins coupés (« card-pagne ») : </w:t>
      </w:r>
      <w:r>
        <w:t xml:space="preserve">toutes les cartes, boutons et avatars portent un clip-path de 18 px évoquant un patch de tissu.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Coutures pointillées (« stitch ») : </w:t>
      </w:r>
      <w:r>
        <w:t xml:space="preserve">contour en pointillés terre cuite décalé de −7 px sur la carte la plus importante de chaque groupe (une seule par groupe visuel).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Rotations légères : </w:t>
      </w:r>
      <w:r>
        <w:t xml:space="preserve">avatars et icônes alternent ±1° à ±3° — rien n’est parfaitement aligné.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Ombres dures « sérigraphie » : </w:t>
      </w:r>
      <w:r>
        <w:t xml:space="preserve">décalage net 4-5 px sans flou, teinté dans la couleur du thème.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Séparateurs nkyinkyim : </w:t>
      </w:r>
      <w:r>
        <w:t xml:space="preserve">zigzag adinkra doré remplaçant tout filet horizontal plat.</w:t>
      </w:r>
    </w:p>
    <w:p>
      <w:pPr>
        <w:spacing w:after="120" w:line="300"/>
        <w:jc w:val="both"/>
      </w:pPr>
      <w:r>
        <w:rPr>
          <w:i/>
          <w:iCs/>
        </w:rPr>
        <w:t xml:space="preserve">Règle de développement : ces irrégularités sont la signature du produit ; elles ne doivent jamais être « nettoyées » lors de l’intégration.</w:t>
      </w:r>
    </w:p>
    <w:p>
      <w:pPr>
        <w:pStyle w:val="Heading1"/>
      </w:pPr>
      <w:r>
        <w:t xml:space="preserve">3. Palette de couleurs et thèmes par espace</w:t>
      </w:r>
    </w:p>
    <w:p>
      <w:pPr>
        <w:pStyle w:val="Heading2"/>
      </w:pPr>
      <w:r>
        <w:t xml:space="preserve">3.1 Tokens principaux (tailwind.config.ts)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300"/>
        <w:gridCol w:w="3326"/>
      </w:tblGrid>
      <w:tr>
        <w:trPr>
          <w:tblHeader/>
        </w:trP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0E3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0E3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Hexa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0E3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Inspiration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0E31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sante-600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#1F7040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 forêt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Primaire espace Patient, validations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sante-900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#0E3120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 profond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Headers sombres patient (+ bogolan)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terre-500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#C2542B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Terre cuite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CTA transverses, FAB, coutures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indigo-600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#2B3A67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Indigo wax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Primaire espace Médecin PRO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indigo-900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#121A2E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Indigo nuit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Sidebar/headers admin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ocre-400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#D4A843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 kola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Diaspora, badges premium, nkyinkyim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sos-500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#D64533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Latérite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Urgences, alertes critiques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creme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#FAF6F0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Coton écru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Fond d’application (jamais de gris froid)</w:t>
            </w:r>
          </w:p>
        </w:tc>
      </w:tr>
      <w:tr>
        <w:tc>
          <w:tcPr>
            <w:tcW w:type="dxa" w:w="19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nuit</w:t>
            </w:r>
          </w:p>
        </w:tc>
        <w:tc>
          <w:tcPr>
            <w:tcW w:type="dxa" w:w="15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#211C16</w:t>
            </w:r>
          </w:p>
        </w:tc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Brun nuit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Écrans scanner/vidéo</w:t>
            </w:r>
          </w:p>
        </w:tc>
      </w:tr>
    </w:tbl>
    <w:p>
      <w:pPr>
        <w:pStyle w:val="Heading2"/>
      </w:pPr>
      <w:r>
        <w:t xml:space="preserve">3.2 Thèmes par espace (règle absolue)</w:t>
      </w:r>
    </w:p>
    <w:p>
      <w:pPr>
        <w:spacing w:after="120" w:line="300"/>
        <w:jc w:val="both"/>
      </w:pPr>
      <w:r>
        <w:t xml:space="preserve">Chaque espace fonctionnel possède sa couleur primaire ; les primaires ne se mélangent jamais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Espace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Écrans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Accent</w:t>
            </w:r>
          </w:p>
        </w:tc>
      </w:tr>
      <w:t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D-01→D-13, D-26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sante-600 (vert)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terre-500</w:t>
            </w:r>
          </w:p>
        </w:tc>
      </w:tr>
      <w:t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Médecin PRO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D-14→D-19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indigo-600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ocre-400 (badge PRO)</w:t>
            </w:r>
          </w:p>
        </w:tc>
      </w:tr>
      <w:t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Diaspora / Pharmacie / Labo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D-20→D-23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dégradé or kola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sante-600</w:t>
            </w:r>
          </w:p>
        </w:tc>
      </w:tr>
      <w:t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D-24, D-25 + desktop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indigo nuit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terre-500 (actions)</w:t>
            </w:r>
          </w:p>
        </w:tc>
      </w:tr>
      <w:t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 hors-ligne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D-13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fond wax ocre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bannière ocre tramée</w:t>
            </w:r>
          </w:p>
        </w:tc>
      </w:tr>
      <w:tr>
        <w:tc>
          <w:tcPr>
            <w:tcW w:type="dxa" w:w="2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Urgence SOS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D-07</w:t>
            </w:r>
          </w:p>
        </w:tc>
        <w:tc>
          <w:tcPr>
            <w:tcW w:type="dxa" w:w="22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sos-500/600</w:t>
            </w:r>
          </w:p>
        </w:tc>
        <w:tc>
          <w:tcPr>
            <w:tcW w:type="dxa" w:w="22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bouton octogonal</w:t>
            </w:r>
          </w:p>
        </w:tc>
      </w:tr>
    </w:tbl>
    <w:p>
      <w:pPr>
        <w:pStyle w:val="Heading1"/>
      </w:pPr>
      <w:r>
        <w:t xml:space="preserve">4. Typographie</w:t>
      </w:r>
    </w:p>
    <w:p>
      <w:pPr>
        <w:spacing w:after="120" w:line="300"/>
        <w:jc w:val="both"/>
      </w:pPr>
      <w:r>
        <w:rPr>
          <w:b/>
          <w:bCs/>
        </w:rPr>
        <w:t xml:space="preserve">Bricolage Grotesque</w:t>
      </w:r>
      <w:r>
        <w:t xml:space="preserve"> (Google Fonts, graisse 400→800) pour tout élément display — titres, boutons, statistiques, badges. Sa chasse irrégulière apporte le caractère éditorial recherché. </w:t>
      </w:r>
      <w:r>
        <w:rPr>
          <w:b/>
          <w:bCs/>
        </w:rPr>
        <w:t xml:space="preserve">DM Sans</w:t>
      </w:r>
      <w:r>
        <w:t xml:space="preserve"> pour le texte courant et les champs de saisie. Graisses : titres en extrabold, libellés/CTA en bold ou extrabold ; le poids medium est proscrit sur le display.</w:t>
      </w:r>
    </w:p>
    <w:p>
      <w:pPr>
        <w:spacing w:after="120" w:line="300"/>
        <w:jc w:val="both"/>
      </w:pPr>
      <w:r>
        <w:t xml:space="preserve">Pile de secours :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"Bricolage Grotesque", "DM Sans", system-ui, sans-serif</w:t>
      </w:r>
      <w:r>
        <w:t xml:space="preserve">. Les deux familles sont préchargées et mises en cache par le service worker.</w:t>
      </w:r>
    </w:p>
    <w:p>
      <w:pPr>
        <w:pStyle w:val="Heading1"/>
      </w:pPr>
      <w:r>
        <w:t xml:space="preserve">5. Motifs et composants signature</w:t>
      </w:r>
    </w:p>
    <w:p>
      <w:pPr>
        <w:pStyle w:val="Heading2"/>
      </w:pPr>
      <w:r>
        <w:t xml:space="preserve">5.1 Classes de motifs (CSS/SVG inline)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C25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C25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C25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Règle d’emploi</w:t>
            </w:r>
          </w:p>
        </w:tc>
      </w:tr>
      <w:t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.bogolan-dark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Zigzags + tirets + carrés blancs, opacité 9 %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Obligatoire sur tout fond sombre (headers, cartes héro)</w:t>
            </w:r>
          </w:p>
        </w:tc>
      </w:tr>
      <w:t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.wax-light / .wax-ocre / .wax-dark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Cercles concentriques (vert / or / blanc)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Fond de page ; wax-ocre = signal visuel du mode hors-ligne</w:t>
            </w:r>
          </w:p>
        </w:tc>
      </w:tr>
      <w:t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.kente-bar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Frise tissée 6 couleurs, 8 px, trame en surimpression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Ferme chaque header sombre ; remplace toute « flag-bar »</w:t>
            </w:r>
          </w:p>
        </w:tc>
      </w:tr>
      <w:t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.nkyinkyim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Zigzag adinkra doré répété, 12 px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Remplace tout séparateur horizontal</w:t>
            </w:r>
          </w:p>
        </w:tc>
      </w:tr>
      <w:t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.card-pagne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clip-path coin coupé 18 px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 défaut sur cartes, boutons, avatars, badges, jauges</w:t>
            </w:r>
          </w:p>
        </w:tc>
      </w:tr>
      <w:tr>
        <w:tc>
          <w:tcPr>
            <w:tcW w:type="dxa" w:w="23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.stitch (+ variantes)</w:t>
            </w:r>
          </w:p>
        </w:tc>
        <w:tc>
          <w:tcPr>
            <w:tcW w:type="dxa" w:w="34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Outline pointillé décalé −7 px</w:t>
            </w:r>
          </w:p>
        </w:tc>
        <w:tc>
          <w:tcPr>
            <w:tcW w:type="dxa" w:w="33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seule carte cousue par groupe visuel</w:t>
            </w:r>
          </w:p>
        </w:tc>
      </w:tr>
    </w:tbl>
    <w:p>
      <w:pPr>
        <w:spacing w:after="120" w:line="300"/>
        <w:jc w:val="both"/>
      </w:pPr>
      <w:r>
        <w:t xml:space="preserve">Le code source calibré de ces classes (data-URI, opacités, trames) est consigné dans la skill de développement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digisante-design-system</w:t>
      </w:r>
      <w:r>
        <w:t xml:space="preserve"> (fichier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references/patterns.css</w:t>
      </w:r>
      <w:r>
        <w:t xml:space="preserve">) ; il doit être copié tel quel, jamais ré-encodé manuellement.</w:t>
      </w:r>
    </w:p>
    <w:p>
      <w:pPr>
        <w:pStyle w:val="Heading2"/>
      </w:pPr>
      <w:r>
        <w:t xml:space="preserve">5.2 Composants normalisés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Boutons : </w:t>
      </w:r>
      <w:r>
        <w:t xml:space="preserve">CTA principal terre cuite (patient/transverse), indigo (PRO), vert (validations) ; tous en card-pagne avec ombre portée colorée. FAB de navigation 56 px, rotation 3°, bordure crème 4 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Header type : </w:t>
      </w:r>
      <w:r>
        <w:t xml:space="preserve">fond sombre du thème + bogolan, pill de langue « FR ▾ » dans la barre de statut, frise kenté en pied, carte flottante en chevauchement (-mt-10).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Bouton SOS : </w:t>
      </w:r>
      <w:r>
        <w:t xml:space="preserve">octogone (clip-path 8 points), dégradé sos, halo pulsant 1,8 s, maintien 3 secondes requis.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Jauges et graphiques : </w:t>
      </w:r>
      <w:r>
        <w:t xml:space="preserve">barres à coins coupés ; remplissages « tissés » en dégradés répétés ; jamais d’arrondi complet.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Icônes : </w:t>
      </w:r>
      <w:r>
        <w:t xml:space="preserve">SVG inline style Lucide (trait 2 px) uniquement ; ni police d’icônes ni emoji d’interface (les emojis restent tolérés comme contenu culturel : 🇧🇯, 🗣, 🔊).</w:t>
      </w:r>
    </w:p>
    <w:p>
      <w:r>
        <w:br w:type="page"/>
      </w:r>
    </w:p>
    <w:p>
      <w:pPr>
        <w:pStyle w:val="Heading1"/>
      </w:pPr>
      <w:r>
        <w:t xml:space="preserve">6. Registre des écrans</w:t>
      </w:r>
    </w:p>
    <w:p>
      <w:pPr>
        <w:spacing w:after="120" w:line="300"/>
        <w:jc w:val="both"/>
      </w:pPr>
      <w:r>
        <w:t xml:space="preserve">Référence unique pour le développement et la recette. Chaque écran est prototypé en HTML haute-fidélité dans les fichiers listés en section 10.</w:t>
      </w:r>
    </w:p>
    <w:p>
      <w:pPr>
        <w:pStyle w:val="Heading2"/>
      </w:pPr>
      <w:r>
        <w:t xml:space="preserve">6.1 Espace Patient (vert) — 14 écrans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00"/>
        <w:gridCol w:w="5376"/>
      </w:tblGrid>
      <w:tr>
        <w:trPr>
          <w:tblHeader/>
        </w:trP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1F7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1F7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Écran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1F7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 clés de spécification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D-01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Onboarding — langues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Choix parmi 4 langues dès le premier écran ; salutations natives (Kú dó gbɛ̀ · Ẹ káàbọ̀) ; logo pagne terre.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D-02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Connexion OTP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SMS 6 chiffres ; option appel vocal en langue locale ; mention chiffrement AES-256.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D-03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Accueil patient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Salutation en langue choisie ; carte prochain RDV flottante ; 4 actions (dossier, consulter, ordonnances, SOS pulsant) ; rappels du jour ; indicateur de synchronisation.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D-04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Dossier médical (DMP)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Carte d’urgence (groupe sanguin, allergies, QR) accessible hors-ligne ; compteurs ; chronologie filtrable consultations/analyses/vaccins.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D-05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Recherche médecin / RDV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Filtres spécialité ; fiches : badge ✓ VÉRIFIÉ, langues parlées (🗣), tarif FCFA, note ; grille de créneaux.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D-06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Téléconsultation vidéo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WebRTC Daily.co ; qualité adaptative ; PiP patient ; chat intégré ; bascule automatique en chat si réseau faible.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D-07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SOS urgence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Bouton octogonal maintien 3 s ; partage GPS ; SMS Twilio au contact dans sa langue ; accès 112 et hôpital le plus proche ; actif hors-ligne (repli SMS).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D-08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Ordonnance + paiement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Ticket sécurisé (n°, QR, signature médecin, validité) ; statut par ligne (en attente / délivré) ; paiement MTN MoMo, Moov, wallet diaspora via FedaPay (frais affichés).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D-09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Rappels thérapeutiques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« Semaine tissée » d’observance (% global) ; états pris / maintenant (+ J’ai pris, +30 min) / à venir ; repli SMS dans la langue du patient.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D-10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consultation dégradée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Bannière « connexion faible » ; partage de mesures structurées depuis le DMP ; file d’attente d’envoi hors-ligne visible (« en attente d’envoi… »).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D-11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Résultats de laboratoire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Interprétation rédigée par le médecin + bouton audio en Fɔ̀ngbè ; jauges avec bornes de référence ; valeurs anormales mises en évidence avec tendance.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D-12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Profil &amp; paramètres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Sélecteur 4 langues ; notifications ; PIN/biométrie ; partages DMP actifs avec expiration ; export FHIR/PDF (droit de portabilité Loi n°2017-20) ; contact d’urgence.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D-13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 hors-ligne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Fond wax ocre = état visible immédiatement ; contenus disponibles (DMP, ordonnances QR, rappels, carte urgence) ; file de synchronisation détaillée ; SOS maintenu via SMS.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D-26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Éducation santé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Articles validés par un soignant ; disponibilité par langue (chips FR/FON/YO/BA/DE) ; audio Fɔ̀ngbè signalé ; recommandations liées au profil.</w:t>
            </w:r>
          </w:p>
        </w:tc>
      </w:tr>
    </w:tbl>
    <w:p>
      <w:pPr>
        <w:pStyle w:val="Heading2"/>
      </w:pPr>
      <w:r>
        <w:t xml:space="preserve">6.2 Espace Médecin PRO (indigo) — 6 écrans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00"/>
        <w:gridCol w:w="5376"/>
      </w:tblGrid>
      <w:tr>
        <w:trPr>
          <w:tblHeader/>
        </w:trP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Écran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 clés de spécification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D-14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Tableau de bord médecin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 de disponibilité ; stats du jour (RDV, attente, encaissé) ; file d’attente temps réel (WebSocket) avec langue du patient et triage prioritaire ; référencements entrants.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D-15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Agenda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semaine ; créneaux typés (terminé, confirmé, libre, pause, à confirmer, garde récurrente indisponible) ; durée de consultation paramétrable 20/30/45 min.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D-16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Vue 360° patient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Accès sous consentement (expiration affichée, journalisé APDP) ; alertes critiques (allergies, pathologies) ; constantes récentes y compris saisies hors-ligne ; observance par traitement.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D-17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Prescription assistée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Blocage des familles allergènes ; autocomplétion DCI + disponibilité Bénin ; posologie structurée ; contrôle d’interactions ; mise à jour automatique des rappels patient ; signature numérique n° Ordre.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D-18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Statistiques &amp; revenus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 net mensuel, commission plateforme 3 %, reversement MoMo ; évolution 4 semaines ; abonnement PRO 15 000 F/mois ; export comptable CSV.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D-19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Vérification KYC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Progression du dossier ; trois états par pièce (vérifié / en revue / à téléverser) ; délai 48 h ouvrées ; soumission bloquée si dossier incomplet.</w:t>
            </w:r>
          </w:p>
        </w:tc>
      </w:tr>
    </w:tbl>
    <w:p>
      <w:pPr>
        <w:pStyle w:val="Heading2"/>
      </w:pPr>
      <w:r>
        <w:t xml:space="preserve">6.3 Diaspora · Pharmacie · Laboratoire (or) — 4 écrans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00"/>
        <w:gridCol w:w="5376"/>
      </w:tblGrid>
      <w:tr>
        <w:trPr>
          <w:tblHeader/>
        </w:trP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B889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B889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Écran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B889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 clés de spécification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D-20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Tableau de bord diaspora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 horloge (résidence / Bénin) ; wallet famille ; cartes proches avec langue, observance, prochains RDV ; paiement à distance notifié.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D-21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Wallet diaspora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Solde FCFA + conversion € temps réel ; recharge carte internationale (FedaPay, 3-D Secure, frais 1 %) ; historique débits/crédits.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D-22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Pharmacie — scan &amp; délivrance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 QR d’ordonnance ; vérification d’authenticité ; délivrance par ligne avec anti-double-délivrance tracée ; suggestion de générique avec économie chiffrée ; notification patient + médecin.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D-23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Laboratoire — saisie résultats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Valeurs structurées avec bornes ; détection de valeur critique → alerte prescripteur prioritaire (push + SMS) ; téléversement du rapport PDF ; notification patient dans sa langue.</w:t>
            </w:r>
          </w:p>
        </w:tc>
      </w:tr>
    </w:tbl>
    <w:p>
      <w:pPr>
        <w:pStyle w:val="Heading2"/>
      </w:pPr>
      <w:r>
        <w:t xml:space="preserve">6.4 Administration (indigo nuit) — 2 écrans mobiles + 7 vues desktop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00"/>
        <w:gridCol w:w="5376"/>
      </w:tblGrid>
      <w:tr>
        <w:trPr>
          <w:tblHeader/>
        </w:trP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11C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11C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Écran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211C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 clés de spécification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D-24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mobile — métriques &amp; KYC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 temps réel (utilisateurs, consultations/j, volume FedaPay, uptime API) ; file KYC priorisée ; alertes système (webhooks, sauvegardes, SSL).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D-25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mobile — utilisateurs &amp; audit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Annuaire avec statuts ; journal d’audit immuable horodaté (IP, événement, cible) conforme Loi n°2017-20.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DT-1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Tableau de bord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Sidebar 270 px ; KPI dont la répartition d’usage par langue ; table KYC ; panneau santé du système (API, PostgreSQL, Redis, sauvegardes, SSL).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DT-2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Revue KYC détaillée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Pièces justificatives ; contre-vérification au registre CNOM ; checklist de décision ; note interne obligatoire en cas de rejet ; décisions journalisées.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DT-3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Traductions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Couverture par langue + audios ; table des clés i18n ; états validé / à relire / manquant ; clés critiques (sos.*, labo.*, payments.*) à double validation par locuteur natif.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DT-4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Utilisateurs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Filtres rôle/statut/langue ; panneau détail (liens wallet diaspora, partages DMP) ; règle : l’administrateur ne peut pas lire le contenu médical du DMP.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DT-5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Paiements FedaPay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Volume, commissions, reversements J+2 ; transactions par moyen et statut ; supervision des webhooks (HMAC, retries, réconciliation quotidienne).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DT-6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Journal d’audit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Registre en ajout seul, hachage chaîné SHA-256, rétention 5 ans ; cas types : accès refusé sans consentement, verrouillage après 5 OTP erronés, export de portabilité, alerte labo critique.</w:t>
            </w:r>
          </w:p>
        </w:tc>
      </w:tr>
      <w:tr>
        <w:tc>
          <w:tcPr>
            <w:tcW w:type="dxa" w:w="95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DT-7</w:t>
            </w:r>
          </w:p>
        </w:tc>
        <w:tc>
          <w:tcPr>
            <w:tcW w:type="dxa" w:w="27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Desktop — Éducation santé (CMS)</w:t>
            </w:r>
          </w:p>
        </w:tc>
        <w:tc>
          <w:tcPr>
            <w:tcW w:type="dxa" w:w="537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Flux éditorial : brouillon → relecture médicale obligatoire → traductions → publication (totale ou partielle par langue) ; suivi des audios.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Multilinguisme — 4 langues</w:t>
      </w:r>
    </w:p>
    <w:p>
      <w:pPr>
        <w:spacing w:after="120" w:line="300"/>
        <w:jc w:val="both"/>
      </w:pPr>
      <w:r>
        <w:t xml:space="preserve">Langues prises en charge : </w:t>
      </w:r>
      <w:r>
        <w:rPr>
          <w:b/>
          <w:bCs/>
        </w:rPr>
        <w:t xml:space="preserve">français, anglais, Fɔ̀ngbè (fon), Yorùbá</w:t>
      </w:r>
      <w:r>
        <w:t xml:space="preserve">. Le multilinguisme n’est pas un réglage caché : il est ancré dans chaque écran.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Sélecteur de langue présent dès l’onboarding (D-01) et pastille de langue « FR ▾ » visible dans chaque barre de statut/topbar.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Les fiches de personnes (médecins, patients, proches diaspora) affichent les langues parlées (🗣) — critère de choix d’un praticien.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Oralité : </w:t>
      </w:r>
      <w:r>
        <w:t xml:space="preserve">interprétations de résultats (D-11) et articles éducatifs (D-26) proposent une version audio en Fɔ̀ngbè ; les contenus avec audio enregistrent un taux de complétion environ trois fois supérieur.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Les communications critiques (SOS, rappels, alertes labo) sont envoyées par SMS Twilio dans la langue du destinataire.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Gouvernance des traductions (vue DT-3) : relecture par locuteurs natifs ; les clés critiques (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sos.*</w:t>
      </w:r>
      <w:r>
        <w:t xml:space="preserve">,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labo.*</w:t>
      </w:r>
      <w:r>
        <w:t xml:space="preserve">,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payments.*</w:t>
      </w:r>
      <w:r>
        <w:t xml:space="preserve">) exigent une double validation avant publication.</w:t>
      </w:r>
    </w:p>
    <w:p>
      <w:pPr>
        <w:pStyle w:val="Heading1"/>
      </w:pPr>
      <w:r>
        <w:t xml:space="preserve">8. Responsivité, performance et mode hors-ligne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Mobile-first : </w:t>
      </w:r>
      <w:r>
        <w:t xml:space="preserve">base 390 px ; grilles 2 colonnes dès le palier tablette ; bascule de l’administration en disposition bureau (sidebar fixe) à partir de 1 280 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Poids : </w:t>
      </w:r>
      <w:r>
        <w:t xml:space="preserve">motifs en background-image CSS (data-URI) = zéro requête ; polices préchargées ; objectif de bundle initial compatible 2G/3G.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Offline-first : </w:t>
      </w:r>
      <w:r>
        <w:t xml:space="preserve">service worker ; l’état hors-ligne est immédiatement identifiable (fond wax ocre + bannière tramée) ; file de synchronisation visible et rejouée automatiquement ; DMP, ordonnances QR, rappels et carte d’urgence restent consultables.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Cibles tactiles : </w:t>
      </w:r>
      <w:r>
        <w:t xml:space="preserve">minimum 44 px ; bouton flottant 56 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Animations : </w:t>
      </w:r>
      <w:r>
        <w:t xml:space="preserve">halo SOS, présence « live », ligne de scan — toutes désactivées sous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prefers-reduced-motion</w:t>
      </w:r>
      <w:r>
        <w:t xml:space="preserve">.</w:t>
      </w:r>
    </w:p>
    <w:p>
      <w:pPr>
        <w:pStyle w:val="Heading1"/>
      </w:pPr>
      <w:r>
        <w:t xml:space="preserve">9. Accessibilité et conformité APDP dans l’interface</w:t>
      </w:r>
    </w:p>
    <w:p>
      <w:pPr>
        <w:pStyle w:val="Heading2"/>
      </w:pPr>
      <w:r>
        <w:t xml:space="preserve">9.1 Accessibilité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Contrastes : texte courant sur crème et libellés sur fonds sombres conformes WCAG 2.1 AA ; les motifs décoratifs restent sous 10 % d’opacité pour ne jamais gêner la lecture.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Information jamais portée par la seule couleur : tout statut associe pictogramme et libellé (« ÉLEVÉ ▲ », « ✓ Vérifié 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Public faiblement lettré : pictogrammes systématiques, audio en langue locale, parcours guidés pas-à-pas (OTP vocal, maintien SOS 3 s).</w:t>
      </w:r>
    </w:p>
    <w:p>
      <w:pPr>
        <w:pStyle w:val="Heading2"/>
      </w:pPr>
      <w:r>
        <w:t xml:space="preserve">9.2 Conformité Loi n°2017-20 (APDP) traduite en design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Consentement visible : tout accès soignant au DMP affiche « Accès consenti » et sa date d’expiration (D-16) ; un accès sans consentement est refusé et journalisé (DT-6).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Droit de portabilité en libre-service : export FHIR/PDF depuis D-12.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Journal d’audit immuable : ajout seul, hachage chaîné, rétention 5 ans, consultable par l’APDP sur réquisition.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Cloisonnement : l’interface d’administration ne donne jamais accès au contenu médical chiffré du DMP.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Mentions de sécurité contextuelles : chiffrement AES-256 (D-02), signature numérique d’ordonnance avec n° Ordre CNOM (D-17), paiement sécurisé FedaPay (D-08).</w:t>
      </w:r>
    </w:p>
    <w:p>
      <w:pPr>
        <w:pStyle w:val="Heading1"/>
      </w:pPr>
      <w:r>
        <w:t xml:space="preserve">10. Traçabilité des livrables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1F7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 prototype (HTML, Tailwind, 390×844)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shd w:fill="1F7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DigiSante_DesignV2_Lot1_AdminDesktop.html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Proposition design system + D-01→D-08 + Desktop Tableau de bord</w:t>
            </w:r>
          </w:p>
        </w:tc>
      </w:tr>
      <w:t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DigiSante_DesignV2_Lot2.html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D-09→D-13 (Patient avancé)</w:t>
            </w:r>
          </w:p>
        </w:tc>
      </w:tr>
      <w:t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DigiSante_DesignV2_Lot3.html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D-14→D-19 (Médecin PRO, indigo)</w:t>
            </w:r>
          </w:p>
        </w:tc>
      </w:tr>
      <w:t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DigiSante_DesignV2_Lot4.html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D-20→D-26 + Desktop Revue KYC + Desktop Traductions</w:t>
            </w:r>
          </w:p>
        </w:tc>
      </w:tr>
      <w:t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DigiSante_DesignV2_AdminDesktop_LotFinal.html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Desktop Utilisateurs, Paiements FedaPay, Journal d’audit, Éducation santé</w:t>
            </w:r>
          </w:p>
        </w:tc>
      </w:tr>
      <w:tr>
        <w:tc>
          <w:tcPr>
            <w:tcW w:type="dxa" w:w="4600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2B3A67"/>
                <w:sz w:val="18"/>
                <w:szCs w:val="18"/>
              </w:rPr>
              <w:t xml:space="preserve">digisante-design-system (skill Claude Code)</w:t>
            </w:r>
          </w:p>
        </w:tc>
        <w:tc>
          <w:tcPr>
            <w:tcW w:type="dxa" w:w="4426"/>
            <w:tcBorders>
              <w:top w:val="single" w:color="D6D0C4" w:sz="2"/>
              <w:left w:val="single" w:color="D6D0C4" w:sz="2"/>
              <w:bottom w:val="single" w:color="D6D0C4" w:sz="2"/>
              <w:right w:val="single" w:color="D6D0C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Tokens, motifs calibrés (patterns.css), registre des écrans — référence d’intégration</w:t>
            </w:r>
          </w:p>
        </w:tc>
      </w:tr>
    </w:tbl>
    <w:p>
      <w:pPr>
        <w:spacing w:after="120" w:line="300"/>
        <w:jc w:val="both"/>
      </w:pPr>
      <w:r>
        <w:t xml:space="default"/>
      </w:r>
    </w:p>
    <w:p>
      <w:pPr>
        <w:spacing w:after="120" w:line="300"/>
        <w:jc w:val="both"/>
      </w:pPr>
      <w:r>
        <w:t xml:space="preserve">Toute évolution d’écran doit être répercutée simultanément dans le prototype HTML concerné, dans la skill </w:t>
      </w:r>
      <w:r>
        <w:rPr>
          <w:rFonts w:ascii="Consolas" w:cs="Consolas" w:eastAsia="Consolas" w:hAnsi="Consolas"/>
          <w:color w:val="2B3A67"/>
          <w:sz w:val="18"/>
          <w:szCs w:val="18"/>
        </w:rPr>
        <w:t xml:space="preserve">digisante-design-system</w:t>
      </w:r>
      <w:r>
        <w:t xml:space="preserve"> et dans le présent document (gestion de version).</w:t>
      </w:r>
    </w:p>
    <w:p>
      <w:pPr>
        <w:pBdr>
          <w:top w:val="single" w:color="B8891A" w:sz="6" w:space="6"/>
        </w:pBdr>
        <w:spacing w:before="300"/>
      </w:pPr>
      <w:r>
        <w:rPr>
          <w:i/>
          <w:iCs/>
          <w:color w:val="57534E"/>
          <w:sz w:val="18"/>
          <w:szCs w:val="18"/>
        </w:rPr>
        <w:t xml:space="preserve">Fin du document — Spécifications UI v2.0 « Wax &amp; Terre »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91A" w:sz="4" w:space="4"/>
      </w:pBdr>
      <w:tabs>
        <w:tab w:val="right" w:pos="9026"/>
      </w:tabs>
    </w:pPr>
    <w:r>
      <w:rPr>
        <w:color w:val="57534E"/>
        <w:sz w:val="14"/>
        <w:szCs w:val="14"/>
      </w:rPr>
      <w:t xml:space="preserve">DigiSanté Mobile — Spécifications UI v2.0 · Programme NEXT IMPACT (FP2E / Sèmè City / Banque Mondiale) · Conforme audit</w:t>
    </w:r>
    <w:r>
      <w:rPr>
        <w:sz w:val="14"/>
        <w:szCs w:val="14"/>
      </w:rPr>
      <w:t xml:space="preserve">	</w:t>
    </w:r>
    <w:r>
      <w:rPr>
        <w:color w:val="57534E"/>
        <w:sz w:val="14"/>
        <w:szCs w:val="14"/>
      </w:rPr>
      <w:t xml:space="preserve">Page </w:t>
    </w:r>
    <w:r>
      <w:rPr>
        <w:color w:val="5753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7534E"/>
        <w:sz w:val="14"/>
        <w:szCs w:val="14"/>
      </w:rPr>
      <w:t xml:space="preserve"> / </w:t>
    </w:r>
    <w:r>
      <w:rPr>
        <w:color w:val="5753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91A" w:sz="4" w:space="4"/>
      </w:pBdr>
      <w:tabs>
        <w:tab w:val="right" w:pos="9026"/>
      </w:tabs>
    </w:pPr>
    <w:r>
      <w:rPr>
        <w:color w:val="57534E"/>
        <w:sz w:val="14"/>
        <w:szCs w:val="14"/>
      </w:rPr>
      <w:t xml:space="preserve">DigiSanté Mobile — Spécifications UI v2.0 · Programme NEXT IMPACT (FP2E / Sèmè City / Banque Mondiale) · Conforme audit</w:t>
    </w:r>
    <w:r>
      <w:rPr>
        <w:sz w:val="14"/>
        <w:szCs w:val="14"/>
      </w:rPr>
      <w:t xml:space="preserve">	</w:t>
    </w:r>
    <w:r>
      <w:rPr>
        <w:color w:val="57534E"/>
        <w:sz w:val="14"/>
        <w:szCs w:val="14"/>
      </w:rPr>
      <w:t xml:space="preserve">Page </w:t>
    </w:r>
    <w:r>
      <w:rPr>
        <w:color w:val="5753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7534E"/>
        <w:sz w:val="14"/>
        <w:szCs w:val="14"/>
      </w:rPr>
      <w:t xml:space="preserve"> / </w:t>
    </w:r>
    <w:r>
      <w:rPr>
        <w:color w:val="5753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0C4" w:sz="4" w:space="4"/>
      </w:pBdr>
      <w:tabs>
        <w:tab w:val="right" w:pos="9026"/>
      </w:tabs>
    </w:pPr>
    <w:r>
      <w:rPr>
        <w:b/>
        <w:bCs/>
        <w:color w:val="0E3120"/>
        <w:sz w:val="16"/>
        <w:szCs w:val="16"/>
      </w:rPr>
      <w:t xml:space="preserve">DIGISANTÉ MOBILE</w:t>
    </w:r>
    <w:r>
      <w:rPr>
        <w:i/>
        <w:iCs/>
        <w:color w:val="C2542B"/>
        <w:sz w:val="16"/>
        <w:szCs w:val="16"/>
      </w:rPr>
      <w:t xml:space="preserve">	Design System « Wax &amp; Terre 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0C4" w:sz="4" w:space="4"/>
      </w:pBdr>
      <w:tabs>
        <w:tab w:val="right" w:pos="9026"/>
      </w:tabs>
    </w:pPr>
    <w:r>
      <w:rPr>
        <w:b/>
        <w:bCs/>
        <w:color w:val="0E3120"/>
        <w:sz w:val="16"/>
        <w:szCs w:val="16"/>
      </w:rPr>
      <w:t xml:space="preserve">DIGISANTÉ MOBILE</w:t>
    </w:r>
    <w:r>
      <w:rPr>
        <w:i/>
        <w:iCs/>
        <w:color w:val="C2542B"/>
        <w:sz w:val="16"/>
        <w:szCs w:val="16"/>
      </w:rPr>
      <w:t xml:space="preserve">	Design System « Wax &amp; Terre 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32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542B" w:sz="8" w:space="4"/>
      </w:pBdr>
      <w:spacing w:after="200" w:before="360"/>
      <w:outlineLvl w:val="0"/>
    </w:pPr>
    <w:rPr>
      <w:rFonts w:ascii="Arial" w:cs="Arial" w:eastAsia="Arial" w:hAnsi="Arial"/>
      <w:b/>
      <w:bCs/>
      <w:color w:val="0E31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C254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B3A6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DigiSanté Mobile — Spécifications UI v2.0 Wax &amp; Terre</dc:title>
  <dc:creator>SEGLA E. Ulrich Gislain</dc:creator>
  <dc:description>Annexe technique NEXT IMPACT</dc:description>
  <cp:lastModifiedBy>Un-named</cp:lastModifiedBy>
  <cp:revision>1</cp:revision>
  <dcterms:created xsi:type="dcterms:W3CDTF">2026-06-10T18:37:32.405Z</dcterms:created>
  <dcterms:modified xsi:type="dcterms:W3CDTF">2026-06-10T18:37:32.405Z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