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 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347"/>
          <w:sz w:val="26"/>
          <w:szCs w:val="26"/>
        </w:rPr>
        <w:t xml:space="preserve">PROGRAMME NEXT IMPACT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155"/>
          <w:sz w:val="21"/>
          <w:szCs w:val="21"/>
        </w:rPr>
        <w:t xml:space="preserve">FP2E · Sèmè City · Banque mondiale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6155"/>
          <w:sz w:val="21"/>
          <w:szCs w:val="21"/>
        </w:rPr>
        <w:t xml:space="preserve">Convention FP2E/NI/IDÉ/2025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347"/>
          <w:sz w:val="40"/>
          <w:szCs w:val="40"/>
        </w:rPr>
        <w:t xml:space="preserve">DigiSanté Mobile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Procès-verbal de décision GO/NO-GO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Ouverture pilote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B3261E"/>
          <w:sz w:val="36"/>
          <w:szCs w:val="36"/>
        </w:rPr>
        <w:t xml:space="preserve">Verdict : NO-GO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B6155"/>
          <w:sz w:val="21"/>
          <w:szCs w:val="21"/>
        </w:rPr>
        <w:t xml:space="preserve">1 critère(s) prouvé(s) sur 13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Établi le 22 septembre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Porteur : SEGLA E. Ulrich Gislain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155"/>
          <w:sz w:val="18"/>
          <w:szCs w:val="18"/>
        </w:rPr>
        <w:t xml:space="preserve">Révision évaluée : main @ e3dde34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2347"/>
          <w:sz w:val="28"/>
          <w:szCs w:val="28"/>
        </w:rPr>
        <w:t xml:space="preserve">Partie I — Contexte et méthode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Ce procès-verbal statue sur l’ouverture d’un pilote de DigiSanté Mobile auprès de premiers usagers réels. Il clôt la série de finalisation (vingt étapes) engagée en septembre 2026.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Règle de décision appliquée sans exception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chaque critère exigé doit être étayé par une preuve d’exécution datée et vérifiable : commande exécutée, exécution d’intégration continue, fiche de recette signée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une déclaration, un plan, une procédure rédigée ou un script prêt à l’emploi ne constituent pas une preuve d’exécution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seul critère sans preuve suffit à prononcer un NO-GO.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Sources consultées : suivis des chantiers B1 à B5, rapports de tests, protocole de recette des sept rôles, audit de sécurité de release, plan de bascule du paiement et historique d’intégration continue.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2347"/>
          <w:sz w:val="28"/>
          <w:szCs w:val="28"/>
        </w:rPr>
        <w:t xml:space="preserve">Partie II — Matrice de décision</w:t>
      </w:r>
    </w:p>
    <w:tbl>
      <w:tblPr>
        <w:tblW w:type="dxa" w:w="9026"/>
        <w:tblBorders>
          <w:top w:val="single" w:color="CCC4B8" w:sz="4"/>
          <w:left w:val="single" w:color="CCC4B8" w:sz="4"/>
          <w:bottom w:val="single" w:color="CCC4B8" w:sz="4"/>
          <w:right w:val="single" w:color="CCC4B8" w:sz="4"/>
          <w:insideH w:val="single" w:color="DDD6CB" w:sz="2"/>
          <w:insideV w:val="single" w:color="DDD6CB" w:sz="2"/>
        </w:tblBorders>
      </w:tblPr>
      <w:tblGrid>
        <w:gridCol w:w="600"/>
        <w:gridCol w:w="2300"/>
        <w:gridCol w:w="4926"/>
        <w:gridCol w:w="1200"/>
      </w:tblGrid>
      <w:tr>
        <w:trPr>
          <w:tblHeader/>
        </w:trPr>
        <w:tc>
          <w:tcPr>
            <w:tcW w:type="dxa" w:w="6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Critère exigé</w:t>
            </w:r>
          </w:p>
        </w:tc>
        <w:tc>
          <w:tcPr>
            <w:tcW w:type="dxa" w:w="4926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Preuve datée</w:t>
            </w:r>
          </w:p>
        </w:tc>
        <w:tc>
          <w:tcPr>
            <w:tcW w:type="dxa" w:w="12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 complète au vert sur la révision candidate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Run CI n° 381 sur main @ e3dde34, 22/09/2026 23:37 UTC : échec en 4 s, aucun job n’a reçu d’exécuteur (blocage au niveau du compte GitHub). Même échec sur le run n° 379 (main @ d2862bf, 22/09/2026 23:18 UTC).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Build reproductible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Build web local vert le 22/09/2026, polices locales (build hermétique, prompt 2), lockfile gelé. Aucune reproduction indépendante : la CI n’a pas tourné.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VPS en service : santé, crons, sauvegardes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SUIVI_B3 §2 : VPS, domaine, clés SSH et secrets non fournis (cases non cochées au 22/09/2026). Préflight statique seulement (PREFLIGHT_VPS_2026-09).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Cinq fournisseurs configurés et vérifiés (FedaPay, Twilio, Daily, Firebase, Resend)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SUIVI_B4 : aucun compte ouvert, aucune clé, aucune vérification métier (tableau intégralement ☐ au 22/09/2026). Tout tourne en stub.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Webhook FedaPay validé en bac à sable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PLAN_Bascule_FedaPay_Live §0, porte P1 : ❌ non exécutée (aucune clé sandbox). Patch d’idempotence atomique §5 appliqué le 22/09/2026 sur accord du porteur (re-tests webhooks verts) ; contrôle S7 non rejoué faute de clé sandbox.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Webhook FedaPay validé en production (live)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PLAN_Bascule_FedaPay_Live : NO-GO au 22/09/2026 (P1, P3, P5 ❌).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Restauration réalisée par un tiers sur archives de production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SUIVI_B5 : répétition à blanc exécutée le 02/09/2026 sur pile de test par l’assistant (tables identiques). Ni archives de production, ni opérateur tiers.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Clés i18n critiques validées (FON/YOR)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check-coverage exécuté le 22/09/2026 : FON 92 %, YOR 92 %, 6 clés CRITIQUES sos.* manquantes dans chaque langue.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Contreseing clinique (triage, PEV, phrasier, CNOM)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VALIDATION_Clinique, suivi B2 au 22/09/2026 : contreseing NON reçu. La décision du porteur du 19/08 n’est pas une signature de professionnel de santé.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Recette appareils × opérateurs × sept rôles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RECETTE_7_Roles_PV : protocole préparé le 22/09/2026, état ⛔ NON EXÉCUTÉE (aucun environnement distant).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Rollback répété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Mécanisme scripté (deploy.sh, DEPLOY_REF=&lt;sha&gt;) ; jamais exécuté sur un serveur.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Audit de sécurité de release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AUDIT_Securite_Release_2026-09 (22/09/2026) : 13 correctifs appliqués et testés ; 15 résiduels ; patch §5 d’idempotence appliqué le 22/09/2026 (378 API + 48 web verts localement) ; aucun test d’intrusion externe.</w:t>
            </w:r>
          </w:p>
        </w:tc>
        <w:tc>
          <w:tcPr>
            <w:tcW w:type="dxa" w:w="1200"/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Tests automatisés (non-régression)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Exécutés localement le 22/09/2026 sur PostgreSQL 16 + Redis réels : 378 tests API + 48 tests web verts ; typecheck, lint, metrics:check verts.</w:t>
            </w:r>
          </w:p>
        </w:tc>
        <w:tc>
          <w:tcPr>
            <w:tcW w:type="dxa" w:w="1200"/>
            <w:shd w:fill="E8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GO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2347"/>
          <w:sz w:val="28"/>
          <w:szCs w:val="28"/>
        </w:rPr>
        <w:t xml:space="preserve">Partie III — Bloqueurs et propriétaires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 verdict étant NO-GO, seuls les bloqueurs et leur propriétaire sont listés. Aucune procédure d’ouverture n’est engagée.</w:t>
      </w:r>
    </w:p>
    <w:tbl>
      <w:tblPr>
        <w:tblW w:type="dxa" w:w="9026"/>
        <w:tblBorders>
          <w:top w:val="single" w:color="CCC4B8" w:sz="4"/>
          <w:left w:val="single" w:color="CCC4B8" w:sz="4"/>
          <w:bottom w:val="single" w:color="CCC4B8" w:sz="4"/>
          <w:right w:val="single" w:color="CCC4B8" w:sz="4"/>
          <w:insideH w:val="single" w:color="DDD6CB" w:sz="2"/>
          <w:insideV w:val="single" w:color="DDD6CB" w:sz="2"/>
        </w:tblBorders>
      </w:tblPr>
      <w:tblGrid>
        <w:gridCol w:w="600"/>
        <w:gridCol w:w="5626"/>
        <w:gridCol w:w="2800"/>
      </w:tblGrid>
      <w:tr>
        <w:trPr>
          <w:tblHeader/>
        </w:trPr>
        <w:tc>
          <w:tcPr>
            <w:tcW w:type="dxa" w:w="6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#</w:t>
            </w:r>
          </w:p>
        </w:tc>
        <w:tc>
          <w:tcPr>
            <w:tcW w:type="dxa" w:w="5626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Action requise pour lever le bloqueur</w:t>
            </w:r>
          </w:p>
        </w:tc>
        <w:tc>
          <w:tcPr>
            <w:tcW w:type="dxa" w:w="28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Propriétaire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Rétablir l’exécution GitHub Actions (facturation / quota du compte), puis obtenir un run complet vert (lint, typecheck, tests, e2e, build).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(propriétaire du compte GitHub)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C2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Build reproduit par la CI (ou un second environnement) sur la même révision.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C3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Fournir VPS + domaine + DNS + secrets ; exécuter provision → deploy ; relever /health, /ready, crontab et première sauvegarde.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/ hébergeur Infomaniak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C4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Ouvrir les comptes, saisir les clés via /admin/integrations, exécuter les fiches RECETTE_*.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C5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Dérouler RECETTE_FedaPay_Sandbox S1→S7 signée (S7 = rejeu des livraisons simultanées).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+ FedaPay (KYC marchand)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C6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Bascule quatre yeux après C3 et C5.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+ FedaPay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C7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Restauration des deux archives (base + fichiers) par une personne autre que l’auteur, sur un hôte distinct, avec verify_restore.sh.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+ opérateur tiers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C8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Relecture et double validation par locuteurs natifs, import via import-validated.mjs.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Locuteurs natifs fɔ̀ngbè et yorùbá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C9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Signature du Dossier_Validation_Clinique.docx (version du 2026-09-01) par un professionnel habilité.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Professionnel de santé habilité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C10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Exécuter le PV sur appareils réels (Android bas de gamme, iPhone) et opérateurs MTN/Moov, après C3 et C4.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+ testeurs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C11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Répétition : déployer N, puis N−1 via DEPLOY_REF, relever /ready et la chaîne d’audit.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C12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Test d’intrusion externe avant ouverture publique ; journalisation des corps d’erreur FedaPay bruts (§5) à revoir.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Porteur + prestataire de test d’intrusion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2347"/>
          <w:sz w:val="28"/>
          <w:szCs w:val="28"/>
        </w:rPr>
        <w:t xml:space="preserve">Partie IV — Suites et conditions de réexamen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2E7D46"/>
          <w:sz w:val="24"/>
          <w:szCs w:val="24"/>
        </w:rPr>
        <w:t xml:space="preserve">IV.1 Ordre de levée conseillé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Rétablir l’intégration continue (C1, C2) : prérequis de toute preuve reproductible.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Mettre en service le serveur (C3), puis ouvrir les comptes fournisseurs (C4) et dérouler la recette du paiement en bac à sable (C5) ; le correctif d’idempotence est appliqué depuis le 22/09/2026.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Répéter la restauration par un tiers et le retour arrière (C7, C11).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Exécuter la recette sur appareils et opérateurs réels (C10), puis basculer le paiement en production (C6).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 parallèle, dès J0 : relecture native des libellés d’urgence (C8) et contreseing clinique (C9).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2E7D46"/>
          <w:sz w:val="24"/>
          <w:szCs w:val="24"/>
        </w:rPr>
        <w:t xml:space="preserve">IV.2 Réexamen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 décision est réexaminée en régénérant ce procès-verbal lorsque chaque bloqueur est levé par une preuve versionnée dans le dépôt. En cas de GO, l’ouverture pilote comprendra : sauvegarde pré-ouverture vérifiée, désignation nominative des responsables d’astreinte, surveillance active (sondes et alertes du runbook), cohorte limitée et revues à J+1 et J+7.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2E7D46"/>
          <w:sz w:val="24"/>
          <w:szCs w:val="24"/>
        </w:rPr>
        <w:t xml:space="preserve">IV.3 Ce que ce procès-verbal n’atteste pas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vérification n’a été conduite sur un serveur, un fournisseur ou un appareil réel.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validation humaine n’est présumée : traductions, contreseing clinique et recettes restent à obtenir.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2347"/>
          <w:sz w:val="28"/>
          <w:szCs w:val="28"/>
        </w:rPr>
        <w:t xml:space="preserve">Attestation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Je soussigné, porteur du projet DigiSanté Mobile, prends acte du verdict NO-GO établi le 22 septembre 2026 sur la base des preuves listées, et de la liste des bloqueurs à lever avant toute ouverture à des usagers réels.</w:t>
      </w:r>
    </w:p>
    <w:p>
      <w:pPr>
        <w:spacing w:after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CCC4B8" w:sz="4"/>
          <w:left w:val="single" w:color="CCC4B8" w:sz="4"/>
          <w:bottom w:val="single" w:color="CCC4B8" w:sz="4"/>
          <w:right w:val="single" w:color="CCC4B8" w:sz="4"/>
          <w:insideH w:val="single" w:color="DDD6CB" w:sz="2"/>
          <w:insideV w:val="single" w:color="DDD6CB" w:sz="2"/>
        </w:tblBorders>
      </w:tblPr>
      <w:tblGrid>
        <w:gridCol w:w="3000"/>
        <w:gridCol w:w="6026"/>
      </w:tblGrid>
      <w:tr>
        <w:tc>
          <w:tcPr>
            <w:tcW w:type="dxa" w:w="30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Nom et qualité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SEGLA E. Ulrich Gislain — porteur du projet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Programme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NEXT IMPACT — convention FP2E/NI/IDÉ/2025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347"/>
                <w:sz w:val="18"/>
                <w:szCs w:val="18"/>
              </w:rPr>
              <w:t xml:space="preserve">Signature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5"/>
        <w:sz w:val="16"/>
        <w:szCs w:val="16"/>
      </w:rPr>
      <w:t xml:space="preserve">Conforme audit — Confidentiel   ·   Convention FP2E/NI/IDÉ/2025   ·   page </w:t>
    </w:r>
    <w:r>
      <w:rPr>
        <w:rFonts w:ascii="Calibri" w:cs="Calibri" w:eastAsia="Calibri" w:hAnsi="Calibri"/>
        <w:color w:val="6B6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155"/>
        <w:sz w:val="16"/>
        <w:szCs w:val="16"/>
      </w:rPr>
      <w:t xml:space="preserve"> / </w:t>
    </w:r>
    <w:r>
      <w:rPr>
        <w:rFonts w:ascii="Calibri" w:cs="Calibri" w:eastAsia="Calibri" w:hAnsi="Calibri"/>
        <w:color w:val="6B6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5"/>
        <w:sz w:val="16"/>
        <w:szCs w:val="16"/>
      </w:rPr>
      <w:t xml:space="preserve">DigiSanté Mobile — PV GO/NO-GO — NEXT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GO/NO-GO — ouverture pilote</dc:title>
  <dc:creator>DigiSanté Mobile</dc:creator>
  <dc:description>Décision d’ouverture pilote du 22 septembre 2026.</dc:description>
  <cp:lastModifiedBy>Un-named</cp:lastModifiedBy>
  <cp:revision>1</cp:revision>
  <dcterms:created xsi:type="dcterms:W3CDTF">2026-09-22T23:47:57.596Z</dcterms:created>
  <dcterms:modified xsi:type="dcterms:W3CDTF">2026-09-22T23:47:57.597Z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