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CANDIDATE, imports/contreseings ouverts ; L10–L11 OUVERTS. Mise à jour : 8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CANDIDATE, imports/contreseings ouverts ; L10–L11 OUVERTS. Mise à jour : 8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 CSV et reçu non fiscal approuvés le 7 octobre ; facture fiscale hors pilote.</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#186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accès PRO aux statistiques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#187 ; preuves LOT_L7</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côté code sur main par #188 ; gates externes ouverts, preuves LOT_L8</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technique feat/l9-native-clinical-validation ; retours annoncés/références différées, imports et contreseings ouverts</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Livré sur main par PR #186 (91a0fc9), fusion à 14:51:11 Africa/Lagos, CI main 37631822824 verte ; implémenté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CI PR finale 37629254298 verte sur 3fb0969 ; preuves LOT_L6.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Reprise du 7 octobre. Livré par #187 sur main ebd0547, fusion à 18:07:19 Africa/Lagos, CI finale 37656071002 et CI main 37656606253 réussies. Développé depuis main 91a0fc9 après #186, CI main 37631822824 verte. Journal causal CAPTURE/REFUND consultation append-only, snapshots commission/net, statistiques et CSV propres au médecin actif/vérifié/PRO courant ; activité/notes et créance globale distinctes du montant effectivement reversé. PAYOUT/REFUND externes manuels, verrou/allocation/compensation/idempotence, prise en charge et preuve tracées, anomalies legacy sans backfill. CSV et reçu non fiscal approuvés par le porteur. Aucun fournisseur réel/déploiement déduit des tests ; L8–L11 ouverts. Contrat/recette/revue/suivi : CONTRAT_Finances_L7.md, RECETTE_Finances_L7.md, REVUE_L7_2026-10.md, suivi/LOT_L7.md. Preuves locales : 571 API +117 web, 23 E2E, release:check 11 étapes ; commit applicatif 3c0c9dfb. CI finale à consulter sur la PR, aucune fusion/déploiement automatique.</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Reprise du 7 octobre. Branche feat/l8-security-residuals depuis main ebd0547, L7 fusionné et CI main verte. OTP générique/poivré, refresh TTL unique, audit causal/transactions DMP-KYC-labo, logs sans query/Referer/corps brut, Nginx erreurs de requête désactivées, checkout exact partagé et reconcile constant, FCM normalisé/CSP resserrée ; aucun changement de schéma/dépendance. Matrice X1–X15 et périmètre pentest : AUDIT_Securite_L8_2026-10.md. Contrat/revue/preuves : CONTRAT_Securite_L8.md, REVUE_L8_2026-10.md, suivi/LOT_L8.md. Twilio console/HTTPS-HSTS/fournisseurs réels/pentest restent L10/L11 ; unsafe-inline Next et timings réels à arbitrer avant GO, aucun risque accepté fictivement.</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spacing w:after="110"/>
      </w:pPr>
      <w:r>
        <w:rPr>
          <w:rFonts w:ascii="Calibri" w:cs="Calibri" w:eastAsia="Calibri" w:hAnsi="Calibri"/>
          <w:sz w:val="21"/>
          <w:szCs w:val="21"/>
        </w:rPr>
        <w:t xml:space="preserve">Implémentation L8 (7 octobre). Base main ebd0547 après fusion #187 vérifiée. OTP HMAC et consommation unique Redis, réponses publiques génériques, TTL refresh cohérent ; audits causaux et effets/audits L1/L2 transactionnels ; journaux sans paramètres/Referer/corps fournisseur, garde FCM et CSP de production resserrées. Sous-lot paiement revu §3.5 : hôtes checkout exacts, redirections refusées, jeton constant, aucun changement de commission/signature/statuts/effets financiers. 605 tests API +121 web, 28 tests outillage et 11 étapes release verts en 99 s ; 34 migrations sans dérive, aucune migration/dépendance ajoutée. 24 E2E/9 fichiers rejoués avec succès, aucun skip. Chaîne synthétique vérifiée : 2 043 entrées, aucun lien/hash erroné. Contrat, matrice X1–X15, auto-revue et fiche : CONTRAT_Securite_L8.md, AUDIT_Securite_L8_2026-10.md, REVUE_L8_2026-10.md, suivi/LOT_L8.md. Candidate technique uniquement : mesures OTP réelles, Twilio Geo Permissions, HTTPS/HSTS, compatibilité fournisseurs et pentest/arbitrage unsafe-inline restent à prouver avant GO L11 ; aucune acceptation de risque inventée.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spacing w:after="110"/>
      </w:pPr>
      <w:r>
        <w:rPr>
          <w:rFonts w:ascii="Calibri" w:cs="Calibri" w:eastAsia="Calibri" w:hAnsi="Calibri"/>
          <w:sz w:val="21"/>
          <w:szCs w:val="21"/>
        </w:rPr>
        <w:t xml:space="preserve">Exécution L9 (8 octobre). Base main 4fc62c1, fusion #188 à 06:50:09 Africa/Lagos et CI main 37734382622 réussie. Préparation/contrôles d’import natif et de version, CSV strict, source FR/EN et variables, double relecture/date/référence, traçabilité/rollback, MT critique interdite. Corpus complet : 1 098 clés UI +27 phrases ; FON/YOR 232 manquantes/6 SOS chacun, inchangées. Nouveau dossier clinique non signé depuis sources fraîches, CPN/objectifs et posologie inclus ; ancien dossier en circulation intact. 44 tests d’outillage, lint/typecheck, instantanés et DOCX structurels verts. Références des retours validés annoncées mais différées par le porteur : aucune pièce/native/signature importée ou attestée, registre vide et gate non vert attendu. Rendu posologie (fractions/mg, horaires et durée déduits) à corriger/arbitrer explicitement avant ouverture. Lire contrat/revue/fiche L9 ; CI technique ne ferme pas les validations humaines ni GO L11.</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2026-10-08T09:06:56.379Z</dcterms:created>
  <dcterms:modified xsi:type="dcterms:W3CDTF">2026-10-08T09:06:56.379Z</dcterms:modified>
</cp:coreProperties>
</file>

<file path=docProps/custom.xml><?xml version="1.0" encoding="utf-8"?>
<Properties xmlns="http://schemas.openxmlformats.org/officeDocument/2006/custom-properties" xmlns:vt="http://schemas.openxmlformats.org/officeDocument/2006/docPropsVTypes"/>
</file>