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rPr>
          <w:b/>
          <w:bCs/>
          <w:color w:val="2E7D46"/>
          <w:sz w:val="56"/>
          <w:szCs w:val="56"/>
        </w:rPr>
        <w:t xml:space="preserve">DigiSanté Mobile</w:t>
      </w:r>
    </w:p>
    <w:p>
      <w:pPr>
        <w:spacing w:before="120"/>
        <w:jc w:val="center"/>
      </w:pPr>
      <w:r>
        <w:rPr>
          <w:b/>
          <w:bCs/>
          <w:color w:val="1E2347"/>
          <w:sz w:val="32"/>
          <w:szCs w:val="32"/>
        </w:rPr>
        <w:t xml:space="preserve">Récapitulatif des fonctionnalités par profil</w:t>
      </w:r>
    </w:p>
    <w:p>
      <w:pPr>
        <w:spacing w:before="80"/>
        <w:jc w:val="center"/>
      </w:pPr>
      <w:r>
        <w:rPr>
          <w:color w:val="6B6155"/>
          <w:sz w:val="22"/>
          <w:szCs w:val="22"/>
        </w:rPr>
        <w:t xml:space="preserve">Patient · Médecin · Pharmacie · Laboratoire · Diaspora · Administration</w:t>
      </w:r>
    </w:p>
    <w:p>
      <w:pPr>
        <w:spacing w:before="600"/>
        <w:jc w:val="center"/>
      </w:pPr>
      <w:r>
        <w:rPr>
          <w:color w:val="6B6155"/>
          <w:sz w:val="20"/>
          <w:szCs w:val="20"/>
        </w:rPr>
        <w:t xml:space="preserve">Programme NEXT IMPACT (FP2E / Sèmè City / Banque Mondiale)</w:t>
      </w:r>
    </w:p>
    <w:p>
      <w:pPr>
        <w:jc w:val="center"/>
      </w:pPr>
      <w:r>
        <w:rPr>
          <w:color w:val="6B6155"/>
          <w:sz w:val="20"/>
          <w:szCs w:val="20"/>
        </w:rPr>
        <w:t xml:space="preserve">Convention FP2E/NI/IDÉ/2025</w:t>
      </w:r>
    </w:p>
    <w:p>
      <w:pPr>
        <w:spacing w:before="400"/>
        <w:jc w:val="center"/>
      </w:pPr>
      <w:r>
        <w:rPr>
          <w:color w:val="6B6155"/>
          <w:sz w:val="18"/>
          <w:szCs w:val="18"/>
        </w:rPr>
        <w:t xml:space="preserve">PWA e-santé offline-first — Bénin · juillet 2026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2E7D46"/>
          <w:sz w:val="30"/>
          <w:szCs w:val="30"/>
        </w:rPr>
        <w:t xml:space="preserve">Patient</w:t>
      </w:r>
    </w:p>
    <w:p>
      <w:pPr>
        <w:spacing w:after="140"/>
      </w:pPr>
      <w:r>
        <w:rPr>
          <w:i/>
          <w:iCs/>
          <w:color w:val="6B6155"/>
          <w:sz w:val="20"/>
          <w:szCs w:val="20"/>
        </w:rPr>
        <w:t xml:space="preserve">Espace Patient — vert « santé 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Compte : inscription et connexion par téléphone + OTP (verrouillage 30 min après 5 échecs) ; le profil Patient et le portefeuille sont créés automatiquement à l’inscription.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Profil &amp; paramètres : nom, langues parlées, langue de l’application (FR, EN, Fɔ̀ngbè, Yorùbá), déconnexion.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Dossier Médical Personnel (DMP) : consultation du dossier chiffré au repos (AES-256) ; export FHIR en libre-service (portabilité).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Partage consenti par soignant : génération d’un QR / lien avec date d’expiration ; liste des accès accordés, révocation persistante et ré-autorisation.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Médecins &amp; rendez-vous : annuaire vérifié (spécialité, langues, tarif) ; prise de rendez-vous présentiel ou téléconsultation.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Téléconsultation (Daily.co) avec bascule automatique vidéo → audio → chat sur réseau faible.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Messagerie patient ↔ médecin en temps réel (WebSocket), chiffrée au repos, avec file d’attente hors-ligne.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Ordonnances : liste, QR de vérification, paiement par Mobile Money (FedaPay) ou portefeuille.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Résultats de laboratoire : consultation, mise en avant des valeurs critiques, écoute audio en Fɔ̀ngbè.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Rappels de traitement ; SOS géolocalisé (alerte au contact d’urgence dans la langue du patient, repli SMS hors-ligne).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Portefeuille (solde, historique) ; application offline-first (PWA, file de synchronisation).</w:t>
      </w:r>
    </w:p>
    <w:p>
      <w:pPr>
        <w:pStyle w:val="Heading1"/>
        <w:spacing w:after="120" w:before="260"/>
      </w:pPr>
      <w:r>
        <w:rPr>
          <w:b/>
          <w:bCs/>
          <w:color w:val="3B4A8F"/>
          <w:sz w:val="30"/>
          <w:szCs w:val="30"/>
        </w:rPr>
        <w:t xml:space="preserve">Médecin PRO</w:t>
      </w:r>
    </w:p>
    <w:p>
      <w:pPr>
        <w:spacing w:after="140"/>
      </w:pPr>
      <w:r>
        <w:rPr>
          <w:i/>
          <w:iCs/>
          <w:color w:val="6B6155"/>
          <w:sz w:val="20"/>
          <w:szCs w:val="20"/>
        </w:rPr>
        <w:t xml:space="preserve">Espace Médecin — indigo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Compte &amp; vérification : inscription avec spécialité et numéro d’Ordre ; KYC (pré-contrôle de format + revue manuelle de l’admin) → badge « Vérifié ».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Tableau de bord : file du jour, compteurs (en attente / confirmés / en cours), confirmation des rendez-vous.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Agenda : vue par plage de dates ; confirmation, annulation (signal de remboursement), triage / priorisation.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Téléconsultation : démarrage (création de la salle Daily.co + jeton), join, clôture avec notes, bascule réseau faible.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Messagerie temps réel avec les patients (chiffrée), initiable depuis la vue 360° du patient.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Vue 360° patient : accès au DMP uniquement sous partage consenti actif (scan du QR du patient) ; gating strict, aucun accès sans consentement, tout accès journalisé.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Ordonnances : prescription avec détection bloquante des conflits d’allergie, signature numérique et QR.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Laboratoire &amp; orientations : demandes d’analyse, interprétation des résultats ; orientation vers un autre médecin.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Statistiques &amp; revenus (commission plateforme 3 %) ; abonnement professionnel (FREE / STARTER / PRO / CLINIC).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Rédaction de contenus d’éducation à la santé (workflow éditorial : brouillon → relecture médicale → traduction → publié).</w:t>
      </w:r>
    </w:p>
    <w:p>
      <w:pPr>
        <w:pStyle w:val="Heading1"/>
        <w:spacing w:after="120" w:before="260"/>
      </w:pPr>
      <w:r>
        <w:rPr>
          <w:b/>
          <w:bCs/>
          <w:color w:val="B07D1E"/>
          <w:sz w:val="30"/>
          <w:szCs w:val="30"/>
        </w:rPr>
        <w:t xml:space="preserve">Pharmacie</w:t>
      </w:r>
    </w:p>
    <w:p>
      <w:pPr>
        <w:spacing w:after="140"/>
      </w:pPr>
      <w:r>
        <w:rPr>
          <w:i/>
          <w:iCs/>
          <w:color w:val="6B6155"/>
          <w:sz w:val="20"/>
          <w:szCs w:val="20"/>
        </w:rPr>
        <w:t xml:space="preserve">Espace Pharmacie — or / nuit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Compte pharmacie avec profil dédié et déconnexion.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Scan caméra du QR d’ordonnance (API native BarcodeDetector ; repli jsQR sur iOS) ou saisie manuelle.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Vérification de l’authenticité (signature) et de la validité de l’ordonnance.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Délivrance ligne par ligne, avec suggestion de générique le cas échéant.</w:t>
      </w:r>
    </w:p>
    <w:p>
      <w:pPr>
        <w:pStyle w:val="Heading1"/>
        <w:spacing w:after="120" w:before="260"/>
      </w:pPr>
      <w:r>
        <w:rPr>
          <w:b/>
          <w:bCs/>
          <w:color w:val="B07D1E"/>
          <w:sz w:val="30"/>
          <w:szCs w:val="30"/>
        </w:rPr>
        <w:t xml:space="preserve">Laboratoire</w:t>
      </w:r>
    </w:p>
    <w:p>
      <w:pPr>
        <w:spacing w:after="140"/>
      </w:pPr>
      <w:r>
        <w:rPr>
          <w:i/>
          <w:iCs/>
          <w:color w:val="6B6155"/>
          <w:sz w:val="20"/>
          <w:szCs w:val="20"/>
        </w:rPr>
        <w:t xml:space="preserve">Espace Laboratoire — or / nuit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Compte laboratoire avec profil dédié et déconnexion.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Réception des demandes d’analyse (référence de demande).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Saisie des résultats (valeurs structurées).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Marquage d’une valeur critique → alerte du prescripteur (SMS dans la langue du destinataire).</w:t>
      </w:r>
    </w:p>
    <w:p>
      <w:pPr>
        <w:pStyle w:val="Heading1"/>
        <w:spacing w:after="120" w:before="260"/>
      </w:pPr>
      <w:r>
        <w:rPr>
          <w:b/>
          <w:bCs/>
          <w:color w:val="B07D1E"/>
          <w:sz w:val="30"/>
          <w:szCs w:val="30"/>
        </w:rPr>
        <w:t xml:space="preserve">Diaspora</w:t>
      </w:r>
    </w:p>
    <w:p>
      <w:pPr>
        <w:spacing w:after="140"/>
      </w:pPr>
      <w:r>
        <w:rPr>
          <w:i/>
          <w:iCs/>
          <w:color w:val="6B6155"/>
          <w:sz w:val="20"/>
          <w:szCs w:val="20"/>
        </w:rPr>
        <w:t xml:space="preserve">Espace Diaspora — 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Compte diaspora ; portefeuille créé automatiquement à l’inscription.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Portefeuille : solde, recharge € → FCFA (taux fixe), historique des mouvements.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Paiement à distance pour la famille au Bénin (Mobile Money et cartes internationales via FedaPay).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Carnet de bénéficiaires (proches au Bénin) : ajout, édition, suppression ; profil &amp; déconnexion.</w:t>
      </w:r>
    </w:p>
    <w:p>
      <w:pPr>
        <w:pStyle w:val="Heading1"/>
        <w:spacing w:after="120" w:before="260"/>
      </w:pPr>
      <w:r>
        <w:rPr>
          <w:b/>
          <w:bCs/>
          <w:color w:val="1E2347"/>
          <w:sz w:val="30"/>
          <w:szCs w:val="30"/>
        </w:rPr>
        <w:t xml:space="preserve">Administration</w:t>
      </w:r>
    </w:p>
    <w:p>
      <w:pPr>
        <w:spacing w:after="140"/>
      </w:pPr>
      <w:r>
        <w:rPr>
          <w:i/>
          <w:iCs/>
          <w:color w:val="6B6155"/>
          <w:sz w:val="20"/>
          <w:szCs w:val="20"/>
        </w:rPr>
        <w:t xml:space="preserve">Espace Admin — indigo nuit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Tableau de bord &amp; métriques (KPI : utilisateurs, consultations, volume FedaPay, KYC en attente, disponibilité).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Gestion des utilisateurs : suspension et réactivation des comptes.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File KYC : revue, approbation ou rejet des dossiers de vérification des médecins.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Journal d’audit immuable : table append-only, hash SHA-256 chaîné, rétention 5 ans.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Modération des contenus d’éducation à la santé.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Cloisonnement strict : l’administration ne peut JAMAIS lire le contenu médical du DMP.</w:t>
      </w:r>
    </w:p>
    <w:p>
      <w:pPr>
        <w:pStyle w:val="Heading1"/>
        <w:spacing w:after="120" w:before="260"/>
      </w:pPr>
      <w:r>
        <w:rPr>
          <w:b/>
          <w:bCs/>
          <w:color w:val="6B6155"/>
          <w:sz w:val="30"/>
          <w:szCs w:val="30"/>
        </w:rPr>
        <w:t xml:space="preserve">Socle transverse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Conformité RGPD / APDP (Loi béninoise n°2017-20) : consentement nominatif par soignant, audit immuable chaîné, chiffrement AES-256 au repos et TLS en transit, cloisonnement de l’administration.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Offline-first : Progressive Web App, service worker, file de synchronisation des actions ; multilingue (FR, EN, Fɔ̀ngbè, Yorùbá).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Temps réel : messagerie par WebSocket avec heartbeat et fan-out inter-workers via Redis.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Intégrations prêtes (activées par les clés des fournisseurs) : Twilio (SMS / OTP), Daily.co (téléconsultation), FedaPay (Mobile Money &amp; cartes), Firebase (notifications push), Resend (e-mails).</w:t>
      </w:r>
    </w:p>
    <w:sectPr>
      <w:headerReference w:type="default" r:id="rId7"/>
      <w:footerReference w:type="default" r:id="rId8"/>
      <w:pgSz w:w="11905" w:h="16837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155"/>
        <w:sz w:val="16"/>
        <w:szCs w:val="16"/>
      </w:rPr>
      <w:t xml:space="preserve">Conforme audit RGPD / APDP (Loi n°2017-20)  ·  page </w:t>
    </w:r>
    <w:r>
      <w:rPr>
        <w:color w:val="6B61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155"/>
        <w:sz w:val="16"/>
        <w:szCs w:val="16"/>
      </w:rPr>
      <w:t xml:space="preserve">DigiSanté Mobile — NEXT IMPACT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Récapitulatif des fonctionnalités par profil</dc:title>
  <dc:creator>DigiSanté Mobile</dc:creator>
  <cp:lastModifiedBy>Un-named</cp:lastModifiedBy>
  <cp:revision>1</cp:revision>
  <dcterms:created xsi:type="dcterms:W3CDTF">2026-07-05T12:33:19.021Z</dcterms:created>
  <dcterms:modified xsi:type="dcterms:W3CDTF">2026-07-05T12:33:19.021Z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