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b/>
          <w:bCs/>
          <w:color w:val="2E7D46"/>
          <w:sz w:val="56"/>
          <w:szCs w:val="56"/>
        </w:rPr>
        <w:t xml:space="preserve">DigiSanté Mobile</w:t>
      </w:r>
    </w:p>
    <w:p>
      <w:pPr>
        <w:spacing w:before="120"/>
        <w:jc w:val="center"/>
      </w:pPr>
      <w:r>
        <w:rPr>
          <w:b/>
          <w:bCs/>
          <w:color w:val="1E2347"/>
          <w:sz w:val="32"/>
          <w:szCs w:val="32"/>
        </w:rPr>
        <w:t xml:space="preserve">Récapitulatif des fonctionnalités par profil</w:t>
      </w:r>
    </w:p>
    <w:p>
      <w:pPr>
        <w:spacing w:before="80"/>
        <w:jc w:val="center"/>
      </w:pPr>
      <w:r>
        <w:rPr>
          <w:color w:val="6B6155"/>
          <w:sz w:val="22"/>
          <w:szCs w:val="22"/>
        </w:rPr>
        <w:t xml:space="preserve">Patient · Médecin · Pharmacie · Laboratoire · Diaspora · Administration</w:t>
      </w:r>
    </w:p>
    <w:p>
      <w:pPr>
        <w:spacing w:before="600"/>
        <w:jc w:val="center"/>
      </w:pPr>
      <w:r>
        <w:rPr>
          <w:color w:val="6B6155"/>
          <w:sz w:val="20"/>
          <w:szCs w:val="20"/>
        </w:rPr>
        <w:t xml:space="preserve">Programme NEXT IMPACT (FP2E / Sèmè City / Banque Mondiale)</w:t>
      </w:r>
    </w:p>
    <w:p>
      <w:pPr>
        <w:jc w:val="center"/>
      </w:pPr>
      <w:r>
        <w:rPr>
          <w:color w:val="6B6155"/>
          <w:sz w:val="20"/>
          <w:szCs w:val="20"/>
        </w:rPr>
        <w:t xml:space="preserve">Convention FP2E/NI/IDÉ/2025</w:t>
      </w:r>
    </w:p>
    <w:p>
      <w:pPr>
        <w:spacing w:before="400"/>
        <w:jc w:val="center"/>
      </w:pPr>
      <w:r>
        <w:rPr>
          <w:color w:val="6B6155"/>
          <w:sz w:val="18"/>
          <w:szCs w:val="18"/>
        </w:rPr>
        <w:t xml:space="preserve">PWA e-santé offline-first — Bénin · 15 juin 2026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2E7D46"/>
          <w:sz w:val="30"/>
          <w:szCs w:val="30"/>
        </w:rPr>
        <w:t xml:space="preserve">Patient</w:t>
      </w:r>
    </w:p>
    <w:p>
      <w:pPr>
        <w:spacing w:after="140"/>
      </w:pPr>
      <w:r>
        <w:rPr>
          <w:i/>
          <w:iCs/>
          <w:color w:val="6B6155"/>
          <w:sz w:val="20"/>
          <w:szCs w:val="20"/>
        </w:rPr>
        <w:t xml:space="preserve">Espace Patient — vert « santé »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Compte : inscription et connexion par téléphone + OTP (verrouillage 30 min après 5 échecs) ; le profil Patient et le portefeuille sont créés automatiquement à l’inscription.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Profil &amp; paramètres : nom, langues parlées, langue de l’application (FR, EN, Fɔ̀ngbè, Baatɔnum, Dendi), déconnexion.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Dossier Médical Personnel (DMP) : consultation du dossier chiffré au repos (AES-256) ; export FHIR en libre-service (portabilité).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Partage consenti par soignant : génération d’un QR / lien avec date d’expiration ; liste des accès accordés, révocation persistante et ré-autorisation.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Médecins &amp; rendez-vous : annuaire vérifié (spécialité, langues, tarif) ; prise de rendez-vous présentiel ou téléconsultation.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Téléconsultation (Daily.co) avec bascule automatique vidéo → audio → chat sur réseau faible.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Messagerie patient ↔ médecin en temps réel (WebSocket), chiffrée au repos, avec file d’attente hors-ligne.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Ordonnances : liste, QR de vérification, paiement par Mobile Money (FedaPay) ou portefeuille.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Résultats de laboratoire : consultation, mise en avant des valeurs critiques, écoute audio en Fɔ̀ngbè.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Rappels de traitement ; SOS géolocalisé (alerte au contact d’urgence dans la langue du patient, repli SMS hors-ligne).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Portefeuille (solde, historique) ; application offline-first (PWA, file de synchronisation).</w:t>
      </w:r>
    </w:p>
    <w:p>
      <w:pPr>
        <w:pStyle w:val="Heading1"/>
        <w:spacing w:after="120" w:before="260"/>
      </w:pPr>
      <w:r>
        <w:rPr>
          <w:b/>
          <w:bCs/>
          <w:color w:val="3B4A8F"/>
          <w:sz w:val="30"/>
          <w:szCs w:val="30"/>
        </w:rPr>
        <w:t xml:space="preserve">Médecin PRO</w:t>
      </w:r>
    </w:p>
    <w:p>
      <w:pPr>
        <w:spacing w:after="140"/>
      </w:pPr>
      <w:r>
        <w:rPr>
          <w:i/>
          <w:iCs/>
          <w:color w:val="6B6155"/>
          <w:sz w:val="20"/>
          <w:szCs w:val="20"/>
        </w:rPr>
        <w:t xml:space="preserve">Espace Médecin — indigo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Compte &amp; vérification : inscription avec spécialité et numéro d’Ordre ; KYC (pré-contrôle de format + revue manuelle de l’admin) → badge « Vérifié ».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Tableau de bord : file du jour, compteurs (en attente / confirmés / en cours), confirmation des rendez-vous.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Agenda : vue par plage de dates ; confirmation, annulation (signal de remboursement), triage / priorisation.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Téléconsultation : démarrage (création de la salle Daily.co + jeton), join, clôture avec notes, bascule réseau faible.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Messagerie temps réel avec les patients (chiffrée), initiable depuis la vue 360° du patient.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Vue 360° patient : accès au DMP uniquement sous partage consenti actif (scan du QR du patient) ; gating strict, aucun accès sans consentement, tout accès journalisé.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Ordonnances : prescription avec détection bloquante des conflits d’allergie, signature numérique et QR.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Laboratoire &amp; orientations : demandes d’analyse, interprétation des résultats ; orientation vers un autre médecin.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Statistiques &amp; revenus (commission plateforme 3 %) ; abonnement professionnel (FREE / STARTER / PRO / CLINIC).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Rédaction de contenus d’éducation à la santé (workflow éditorial : brouillon → relecture médicale → traduction → publié).</w:t>
      </w:r>
    </w:p>
    <w:p>
      <w:pPr>
        <w:pStyle w:val="Heading1"/>
        <w:spacing w:after="120" w:before="260"/>
      </w:pPr>
      <w:r>
        <w:rPr>
          <w:b/>
          <w:bCs/>
          <w:color w:val="B07D1E"/>
          <w:sz w:val="30"/>
          <w:szCs w:val="30"/>
        </w:rPr>
        <w:t xml:space="preserve">Pharmacie</w:t>
      </w:r>
    </w:p>
    <w:p>
      <w:pPr>
        <w:spacing w:after="140"/>
      </w:pPr>
      <w:r>
        <w:rPr>
          <w:i/>
          <w:iCs/>
          <w:color w:val="6B6155"/>
          <w:sz w:val="20"/>
          <w:szCs w:val="20"/>
        </w:rPr>
        <w:t xml:space="preserve">Espace Pharmacie — or / nuit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Compte pharmacie avec profil dédié et déconnexion.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Scan caméra du QR d’ordonnance (API native BarcodeDetector ; repli jsQR sur iOS) ou saisie manuelle.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Vérification de l’authenticité (signature) et de la validité de l’ordonnance.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Délivrance ligne par ligne, avec suggestion de générique le cas échéant.</w:t>
      </w:r>
    </w:p>
    <w:p>
      <w:pPr>
        <w:pStyle w:val="Heading1"/>
        <w:spacing w:after="120" w:before="260"/>
      </w:pPr>
      <w:r>
        <w:rPr>
          <w:b/>
          <w:bCs/>
          <w:color w:val="B07D1E"/>
          <w:sz w:val="30"/>
          <w:szCs w:val="30"/>
        </w:rPr>
        <w:t xml:space="preserve">Laboratoire</w:t>
      </w:r>
    </w:p>
    <w:p>
      <w:pPr>
        <w:spacing w:after="140"/>
      </w:pPr>
      <w:r>
        <w:rPr>
          <w:i/>
          <w:iCs/>
          <w:color w:val="6B6155"/>
          <w:sz w:val="20"/>
          <w:szCs w:val="20"/>
        </w:rPr>
        <w:t xml:space="preserve">Espace Laboratoire — or / nuit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Compte laboratoire avec profil dédié et déconnexion.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Réception des demandes d’analyse (référence de demande).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Saisie des résultats (valeurs structurées).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Marquage d’une valeur critique → alerte du prescripteur (SMS dans la langue du destinataire).</w:t>
      </w:r>
    </w:p>
    <w:p>
      <w:pPr>
        <w:pStyle w:val="Heading1"/>
        <w:spacing w:after="120" w:before="260"/>
      </w:pPr>
      <w:r>
        <w:rPr>
          <w:b/>
          <w:bCs/>
          <w:color w:val="B07D1E"/>
          <w:sz w:val="30"/>
          <w:szCs w:val="30"/>
        </w:rPr>
        <w:t xml:space="preserve">Diaspora</w:t>
      </w:r>
    </w:p>
    <w:p>
      <w:pPr>
        <w:spacing w:after="140"/>
      </w:pPr>
      <w:r>
        <w:rPr>
          <w:i/>
          <w:iCs/>
          <w:color w:val="6B6155"/>
          <w:sz w:val="20"/>
          <w:szCs w:val="20"/>
        </w:rPr>
        <w:t xml:space="preserve">Espace Diaspora — or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Compte diaspora ; portefeuille créé automatiquement à l’inscription.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Portefeuille : solde, recharge € → FCFA (taux fixe), historique des mouvements.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Paiement à distance pour la famille au Bénin (Mobile Money et cartes internationales via FedaPay).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Gestion de la famille ; profil &amp; déconnexion.</w:t>
      </w:r>
    </w:p>
    <w:p>
      <w:pPr>
        <w:pStyle w:val="Heading1"/>
        <w:spacing w:after="120" w:before="260"/>
      </w:pPr>
      <w:r>
        <w:rPr>
          <w:b/>
          <w:bCs/>
          <w:color w:val="1E2347"/>
          <w:sz w:val="30"/>
          <w:szCs w:val="30"/>
        </w:rPr>
        <w:t xml:space="preserve">Administration</w:t>
      </w:r>
    </w:p>
    <w:p>
      <w:pPr>
        <w:spacing w:after="140"/>
      </w:pPr>
      <w:r>
        <w:rPr>
          <w:i/>
          <w:iCs/>
          <w:color w:val="6B6155"/>
          <w:sz w:val="20"/>
          <w:szCs w:val="20"/>
        </w:rPr>
        <w:t xml:space="preserve">Espace Admin — indigo nuit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Tableau de bord &amp; métriques (KPI : utilisateurs, consultations, volume FedaPay, KYC en attente, disponibilité).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Gestion des utilisateurs : suspension et réactivation des comptes.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File KYC : revue, approbation ou rejet des dossiers de vérification des médecins.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Journal d’audit immuable : table append-only, hash SHA-256 chaîné, rétention 5 ans.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Modération des contenus d’éducation à la santé.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Cloisonnement strict : l’administration ne peut JAMAIS lire le contenu médical du DMP.</w:t>
      </w:r>
    </w:p>
    <w:p>
      <w:pPr>
        <w:pStyle w:val="Heading1"/>
        <w:spacing w:after="120" w:before="260"/>
      </w:pPr>
      <w:r>
        <w:rPr>
          <w:b/>
          <w:bCs/>
          <w:color w:val="6B6155"/>
          <w:sz w:val="30"/>
          <w:szCs w:val="30"/>
        </w:rPr>
        <w:t xml:space="preserve">Socle transverse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Conformité RGPD / APDP (Loi béninoise n°2017-20) : consentement nominatif par soignant, audit immuable chaîné, chiffrement AES-256 au repos et TLS en transit, cloisonnement de l’administration.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Offline-first : Progressive Web App, service worker, file de synchronisation des actions ; multilingue (FR, EN, Fɔ̀ngbè, Baatɔnum, Dendi).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Temps réel : messagerie par WebSocket avec heartbeat et fan-out inter-workers via Redis.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Intégrations prêtes (activées par les clés des fournisseurs) : Twilio (SMS / OTP), Daily.co (téléconsultation), FedaPay (Mobile Money &amp; cartes), Firebase (notifications push), Resend (e-mails).</w:t>
      </w:r>
    </w:p>
    <w:sectPr>
      <w:headerReference w:type="default" r:id="rId7"/>
      <w:footerReference w:type="default" r:id="rId8"/>
      <w:pgSz w:w="11905" w:h="16837" w:orient="portrait"/>
      <w:pgMar w:top="1247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155"/>
        <w:sz w:val="16"/>
        <w:szCs w:val="16"/>
      </w:rPr>
      <w:t xml:space="preserve">Conforme audit RGPD / APDP (Loi n°2017-20)  ·  page </w:t>
    </w:r>
    <w:r>
      <w:rPr>
        <w:color w:val="6B61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155"/>
        <w:sz w:val="16"/>
        <w:szCs w:val="16"/>
      </w:rPr>
      <w:t xml:space="preserve">DigiSanté Mobile — NEXT IMPACT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Récapitulatif des fonctionnalités par profil</dc:title>
  <dc:creator>DigiSanté Mobile</dc:creator>
  <cp:lastModifiedBy>Un-named</cp:lastModifiedBy>
  <cp:revision>1</cp:revision>
  <dcterms:created xsi:type="dcterms:W3CDTF">2026-06-15T01:57:23.668Z</dcterms:created>
  <dcterms:modified xsi:type="dcterms:W3CDTF">2026-06-15T01:57:23.669Z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