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Calibri" w:cs="Calibri" w:eastAsia="Calibri" w:hAnsi="Calibri"/>
          <w:b/>
          <w:bCs/>
          <w:color w:val="1E2347"/>
          <w:sz w:val="40"/>
          <w:szCs w:val="40"/>
        </w:rPr>
        <w:t xml:space="preserve">DigiSanté Mobile</w:t>
      </w:r>
    </w:p>
    <w:p>
      <w:pPr>
        <w:spacing w:after="80"/>
        <w:jc w:val="center"/>
      </w:pPr>
      <w:r>
        <w:rPr>
          <w:rFonts w:ascii="Calibri" w:cs="Calibri" w:eastAsia="Calibri" w:hAnsi="Calibri"/>
          <w:color w:val="2E7D46"/>
          <w:sz w:val="32"/>
          <w:szCs w:val="32"/>
        </w:rPr>
        <w:t xml:space="preserve">Rapport de chantier</w:t>
      </w:r>
    </w:p>
    <w:p>
      <w:pPr>
        <w:spacing w:after="400"/>
        <w:jc w:val="center"/>
      </w:pPr>
      <w:r>
        <w:rPr>
          <w:rFonts w:ascii="Calibri" w:cs="Calibri" w:eastAsia="Calibri" w:hAnsi="Calibri"/>
          <w:color w:val="6B6155"/>
          <w:sz w:val="22"/>
          <w:szCs w:val="22"/>
        </w:rPr>
        <w:t xml:space="preserve">Période du 18 août 2026 au 19 août 2026</w:t>
      </w:r>
    </w:p>
    <w:p>
      <w:pPr>
        <w:spacing w:after="60"/>
        <w:jc w:val="center"/>
      </w:pPr>
      <w:r>
        <w:rPr>
          <w:rFonts w:ascii="Calibri" w:cs="Calibri" w:eastAsia="Calibri" w:hAnsi="Calibri"/>
          <w:color w:val="6B6155"/>
          <w:sz w:val="20"/>
          <w:szCs w:val="20"/>
        </w:rPr>
        <w:t xml:space="preserve">Programme NEXT IMPACT — FP2E / Sèmè City / Banque Mondiale</w:t>
      </w:r>
    </w:p>
    <w:p>
      <w:pPr>
        <w:spacing w:after="60"/>
        <w:jc w:val="center"/>
      </w:pPr>
      <w:r>
        <w:rPr>
          <w:rFonts w:ascii="Calibri" w:cs="Calibri" w:eastAsia="Calibri" w:hAnsi="Calibri"/>
          <w:color w:val="6B6155"/>
          <w:sz w:val="20"/>
          <w:szCs w:val="20"/>
        </w:rPr>
        <w:t xml:space="preserve">Convention FP2E/NI/IDÉ/2025</w:t>
      </w:r>
    </w:p>
    <w:p>
      <w:pPr>
        <w:spacing w:after="400"/>
        <w:jc w:val="center"/>
      </w:pPr>
      <w:r>
        <w:rPr>
          <w:rFonts w:ascii="Calibri" w:cs="Calibri" w:eastAsia="Calibri" w:hAnsi="Calibri"/>
          <w:color w:val="6B6155"/>
          <w:sz w:val="20"/>
          <w:szCs w:val="20"/>
        </w:rPr>
        <w:t xml:space="preserve">Bénéficiaire : SEGLA E. Ulrich Gislain — porteur du projet</w:t>
      </w:r>
    </w:p>
    <w:p>
      <w:pPr>
        <w:spacing w:after="120"/>
        <w:jc w:val="center"/>
      </w:pPr>
      <w:r>
        <w:rPr>
          <w:rFonts w:ascii="Calibri" w:cs="Calibri" w:eastAsia="Calibri" w:hAnsi="Calibri"/>
          <w:i/>
          <w:iCs/>
          <w:color w:val="000000"/>
          <w:sz w:val="21"/>
          <w:szCs w:val="21"/>
        </w:rPr>
        <w:t xml:space="preserve">Audit fonctionnel de la plateforme et correction de la totalité des écarts identifiés.</w:t>
      </w:r>
    </w:p>
    <w:p>
      <w:pPr>
        <w:spacing w:after="120"/>
        <w:jc w:val="center"/>
      </w:pPr>
      <w:r>
        <w:rPr>
          <w:rFonts w:ascii="Calibri" w:cs="Calibri" w:eastAsia="Calibri" w:hAnsi="Calibri"/>
          <w:i/>
          <w:iCs/>
          <w:color w:val="6B6155"/>
          <w:sz w:val="18"/>
          <w:szCs w:val="18"/>
        </w:rPr>
        <w:t xml:space="preserve">Document établi le 2026-08-19. Rapport technique de suivi — ne constitue pas une pièce fiduciaire.</w:t>
      </w:r>
    </w:p>
    <w:p>
      <w:r>
        <w:br w:type="page"/>
      </w:r>
    </w:p>
    <w:p>
      <w:pPr>
        <w:pStyle w:val="Heading1"/>
        <w:spacing w:after="140" w:before="320"/>
      </w:pPr>
      <w:r>
        <w:rPr>
          <w:rFonts w:ascii="Calibri" w:cs="Calibri" w:eastAsia="Calibri" w:hAnsi="Calibri"/>
          <w:b/>
          <w:bCs/>
          <w:color w:val="1E2347"/>
          <w:sz w:val="28"/>
          <w:szCs w:val="28"/>
        </w:rPr>
        <w:t xml:space="preserve">Sommaire</w:t>
      </w:r>
    </w:p>
    <w:p>
      <w:pPr>
        <w:spacing w:after="120"/>
      </w:pPr>
      <w:r>
        <w:rPr>
          <w:rFonts w:ascii="Calibri" w:cs="Calibri" w:eastAsia="Calibri" w:hAnsi="Calibri"/>
          <w:color w:val="000000"/>
          <w:sz w:val="21"/>
          <w:szCs w:val="21"/>
        </w:rPr>
        <w:t xml:space="preserve">Le présent rapport suit la structure en quatre parties attendue par les partenaires techniques et financiers.</w:t>
      </w:r>
    </w:p>
    <w:p>
      <w:pPr>
        <w:pStyle w:val="ListParagraph"/>
        <w:numPr>
          <w:ilvl w:val="0"/>
          <w:numId w:val="1"/>
        </w:numPr>
        <w:spacing w:after="80"/>
      </w:pPr>
      <w:r>
        <w:rPr>
          <w:rFonts w:ascii="Calibri" w:cs="Calibri" w:eastAsia="Calibri" w:hAnsi="Calibri"/>
          <w:color w:val="000000"/>
          <w:sz w:val="21"/>
          <w:szCs w:val="21"/>
        </w:rPr>
        <w:t xml:space="preserve">Partie I — Contexte, objet et méthode</w:t>
      </w:r>
    </w:p>
    <w:p>
      <w:pPr>
        <w:pStyle w:val="ListParagraph"/>
        <w:numPr>
          <w:ilvl w:val="0"/>
          <w:numId w:val="1"/>
        </w:numPr>
        <w:spacing w:after="80"/>
      </w:pPr>
      <w:r>
        <w:rPr>
          <w:rFonts w:ascii="Calibri" w:cs="Calibri" w:eastAsia="Calibri" w:hAnsi="Calibri"/>
          <w:color w:val="000000"/>
          <w:sz w:val="21"/>
          <w:szCs w:val="21"/>
        </w:rPr>
        <w:t xml:space="preserve">Partie II — Travaux réalisés sur la période</w:t>
      </w:r>
    </w:p>
    <w:p>
      <w:pPr>
        <w:pStyle w:val="ListParagraph"/>
        <w:numPr>
          <w:ilvl w:val="0"/>
          <w:numId w:val="1"/>
        </w:numPr>
        <w:spacing w:after="80"/>
      </w:pPr>
      <w:r>
        <w:rPr>
          <w:rFonts w:ascii="Calibri" w:cs="Calibri" w:eastAsia="Calibri" w:hAnsi="Calibri"/>
          <w:color w:val="000000"/>
          <w:sz w:val="21"/>
          <w:szCs w:val="21"/>
        </w:rPr>
        <w:t xml:space="preserve">Partie III — Résultats et indicateurs vérifiables</w:t>
      </w:r>
    </w:p>
    <w:p>
      <w:pPr>
        <w:pStyle w:val="ListParagraph"/>
        <w:numPr>
          <w:ilvl w:val="0"/>
          <w:numId w:val="1"/>
        </w:numPr>
        <w:spacing w:after="80"/>
      </w:pPr>
      <w:r>
        <w:rPr>
          <w:rFonts w:ascii="Calibri" w:cs="Calibri" w:eastAsia="Calibri" w:hAnsi="Calibri"/>
          <w:color w:val="000000"/>
          <w:sz w:val="21"/>
          <w:szCs w:val="21"/>
        </w:rPr>
        <w:t xml:space="preserve">Partie IV — Risques, points ouverts et suites</w:t>
      </w:r>
    </w:p>
    <w:p>
      <w:r>
        <w:br w:type="page"/>
      </w:r>
    </w:p>
    <w:p>
      <w:pPr>
        <w:pStyle w:val="Heading1"/>
        <w:spacing w:after="140" w:before="320"/>
      </w:pPr>
      <w:r>
        <w:rPr>
          <w:rFonts w:ascii="Calibri" w:cs="Calibri" w:eastAsia="Calibri" w:hAnsi="Calibri"/>
          <w:b/>
          <w:bCs/>
          <w:color w:val="1E2347"/>
          <w:sz w:val="28"/>
          <w:szCs w:val="28"/>
        </w:rPr>
        <w:t xml:space="preserve">Partie I — Contexte, objet et méthode</w:t>
      </w:r>
    </w:p>
    <w:p>
      <w:pPr>
        <w:pStyle w:val="Heading2"/>
        <w:spacing w:after="140" w:before="220"/>
      </w:pPr>
      <w:r>
        <w:rPr>
          <w:rFonts w:ascii="Calibri" w:cs="Calibri" w:eastAsia="Calibri" w:hAnsi="Calibri"/>
          <w:b/>
          <w:bCs/>
          <w:color w:val="2E7D46"/>
          <w:sz w:val="24"/>
          <w:szCs w:val="24"/>
        </w:rPr>
        <w:t xml:space="preserve">I.1 Contexte</w:t>
      </w:r>
    </w:p>
    <w:p>
      <w:pPr>
        <w:spacing w:after="120"/>
      </w:pPr>
      <w:r>
        <w:rPr>
          <w:rFonts w:ascii="Calibri" w:cs="Calibri" w:eastAsia="Calibri" w:hAnsi="Calibri"/>
          <w:color w:val="000000"/>
          <w:sz w:val="21"/>
          <w:szCs w:val="21"/>
        </w:rPr>
        <w:t xml:space="preserve">DigiSanté Mobile est une application web progressive de santé numérique destinée au Bénin, conçue pour fonctionner hors connexion et en quatre langues (français, anglais, fɔ̀ngbè, yorùbá). Elle répond aux difficultés d’accès aux soins en zone rurale : dossiers médicaux perdus, faible couverture réseau, éloignement des professionnels de santé.</w:t>
      </w:r>
    </w:p>
    <w:p>
      <w:pPr>
        <w:spacing w:after="120"/>
      </w:pPr>
      <w:r>
        <w:rPr>
          <w:rFonts w:ascii="Calibri" w:cs="Calibri" w:eastAsia="Calibri" w:hAnsi="Calibri"/>
          <w:color w:val="000000"/>
          <w:sz w:val="21"/>
          <w:szCs w:val="21"/>
        </w:rPr>
        <w:t xml:space="preserve">À l’ouverture de la période, la plateforme était fonctionnellement complète et sa phase annoncée était la mise en production. Les travaux rapportés ici portent sur la vérification de cette complétude, et non sur l’ajout de nouvelles fonctions.</w:t>
      </w:r>
    </w:p>
    <w:p>
      <w:pPr>
        <w:pStyle w:val="Heading2"/>
        <w:spacing w:after="140" w:before="220"/>
      </w:pPr>
      <w:r>
        <w:rPr>
          <w:rFonts w:ascii="Calibri" w:cs="Calibri" w:eastAsia="Calibri" w:hAnsi="Calibri"/>
          <w:b/>
          <w:bCs/>
          <w:color w:val="2E7D46"/>
          <w:sz w:val="24"/>
          <w:szCs w:val="24"/>
        </w:rPr>
        <w:t xml:space="preserve">I.2 Objet de la période</w:t>
      </w:r>
    </w:p>
    <w:p>
      <w:pPr>
        <w:spacing w:after="120"/>
      </w:pPr>
      <w:r>
        <w:rPr>
          <w:rFonts w:ascii="Calibri" w:cs="Calibri" w:eastAsia="Calibri" w:hAnsi="Calibri"/>
          <w:color w:val="000000"/>
          <w:sz w:val="21"/>
          <w:szCs w:val="21"/>
        </w:rPr>
        <w:t xml:space="preserve">L’objet n’était pas de vérifier la qualité du code, mais de répondre à une question d’usage : l’utilisateur peut-il réellement faire ce que le produit lui promet ?</w:t>
      </w:r>
    </w:p>
    <w:p>
      <w:pPr>
        <w:pStyle w:val="Heading2"/>
        <w:spacing w:after="140" w:before="220"/>
      </w:pPr>
      <w:r>
        <w:rPr>
          <w:rFonts w:ascii="Calibri" w:cs="Calibri" w:eastAsia="Calibri" w:hAnsi="Calibri"/>
          <w:b/>
          <w:bCs/>
          <w:color w:val="2E7D46"/>
          <w:sz w:val="24"/>
          <w:szCs w:val="24"/>
        </w:rPr>
        <w:t xml:space="preserve">I.3 Méthode</w:t>
      </w:r>
    </w:p>
    <w:p>
      <w:pPr>
        <w:spacing w:after="120"/>
      </w:pPr>
      <w:r>
        <w:rPr>
          <w:rFonts w:ascii="Calibri" w:cs="Calibri" w:eastAsia="Calibri" w:hAnsi="Calibri"/>
          <w:color w:val="000000"/>
          <w:sz w:val="21"/>
          <w:szCs w:val="21"/>
        </w:rPr>
        <w:t xml:space="preserve">Chaque point d’entrée du serveur a été confronté aux appels réellement émis par l’interface, par appariement automatique des adresses. Chaque point d’entrée sans appelant a ensuite été vérifié manuellement, afin d’écarter les faux positifs et de qualifier la conséquence pour l’utilisateur.</w:t>
      </w:r>
    </w:p>
    <w:p>
      <w:pPr>
        <w:spacing w:after="120"/>
      </w:pPr>
      <w:r>
        <w:rPr>
          <w:rFonts w:ascii="Calibri" w:cs="Calibri" w:eastAsia="Calibri" w:hAnsi="Calibri"/>
          <w:color w:val="000000"/>
          <w:sz w:val="21"/>
          <w:szCs w:val="21"/>
        </w:rPr>
        <w:t xml:space="preserve">L’ensemble des indicateurs de la partie III est mesuré par exécution sur le dépôt, et non repris de la documentation. Les commandes de contrôle sont reproductibles à l’identique.</w:t>
      </w:r>
    </w:p>
    <w:p>
      <w:pPr>
        <w:spacing w:after="120"/>
      </w:pPr>
      <w:r>
        <w:rPr>
          <w:rFonts w:ascii="Calibri" w:cs="Calibri" w:eastAsia="Calibri" w:hAnsi="Calibri"/>
          <w:color w:val="000000"/>
          <w:sz w:val="21"/>
          <w:szCs w:val="21"/>
        </w:rPr>
        <w:t xml:space="preserve">Chaque correction a fait l’objet d’une demande d’intégration distincte, passée en intégration continue (contrôles de typage, d’style, tests unitaires, tests de bout en bout) avant fusion sur la branche de production.</w:t>
      </w:r>
    </w:p>
    <w:p>
      <w:r>
        <w:br w:type="page"/>
      </w:r>
    </w:p>
    <w:p>
      <w:pPr>
        <w:pStyle w:val="Heading1"/>
        <w:spacing w:after="140" w:before="320"/>
      </w:pPr>
      <w:r>
        <w:rPr>
          <w:rFonts w:ascii="Calibri" w:cs="Calibri" w:eastAsia="Calibri" w:hAnsi="Calibri"/>
          <w:b/>
          <w:bCs/>
          <w:color w:val="1E2347"/>
          <w:sz w:val="28"/>
          <w:szCs w:val="28"/>
        </w:rPr>
        <w:t xml:space="preserve">Partie II — Travaux réalisés sur la période</w:t>
      </w:r>
    </w:p>
    <w:p>
      <w:pPr>
        <w:pStyle w:val="Heading2"/>
        <w:spacing w:after="140" w:before="220"/>
      </w:pPr>
      <w:r>
        <w:rPr>
          <w:rFonts w:ascii="Calibri" w:cs="Calibri" w:eastAsia="Calibri" w:hAnsi="Calibri"/>
          <w:b/>
          <w:bCs/>
          <w:color w:val="2E7D46"/>
          <w:sz w:val="24"/>
          <w:szCs w:val="24"/>
        </w:rPr>
        <w:t xml:space="preserve">II.1 Livraisons</w:t>
      </w:r>
    </w:p>
    <w:p>
      <w:pPr>
        <w:spacing w:after="120"/>
      </w:pPr>
      <w:r>
        <w:rPr>
          <w:rFonts w:ascii="Calibri" w:cs="Calibri" w:eastAsia="Calibri" w:hAnsi="Calibri"/>
          <w:color w:val="000000"/>
          <w:sz w:val="21"/>
          <w:szCs w:val="21"/>
        </w:rPr>
        <w:t xml:space="preserve">Huit demandes d’intégration ont été livrées et fusionnées, sans ajout d’aucune dépendance externe.</w:t>
      </w:r>
    </w:p>
    <w:tbl>
      <w:tblPr>
        <w:tblW w:type="dxa" w:w="9026"/>
        <w:tblBorders>
          <w:top w:val="single" w:color="CCC4B8" w:sz="4"/>
          <w:left w:val="single" w:color="CCC4B8" w:sz="4"/>
          <w:bottom w:val="single" w:color="CCC4B8" w:sz="4"/>
          <w:right w:val="single" w:color="CCC4B8" w:sz="4"/>
          <w:insideH w:val="single" w:color="DDD6CB" w:sz="2"/>
          <w:insideV w:val="single" w:color="DDD6CB" w:sz="2"/>
        </w:tblBorders>
      </w:tblPr>
      <w:tblGrid>
        <w:gridCol w:w="1100"/>
        <w:gridCol w:w="1000"/>
        <w:gridCol w:w="4926"/>
        <w:gridCol w:w="2000"/>
      </w:tblGrid>
      <w:tr>
        <w:trPr>
          <w:tblHeader/>
        </w:trPr>
        <w:tc>
          <w:tcPr>
            <w:tcW w:type="dxa" w:w="1100"/>
            <w:shd w:fill="F2EEE7" w:color="auto" w:val="clear"/>
            <w:tcMar>
              <w:top w:type="dxa" w:w="60"/>
              <w:left w:type="dxa" w:w="100"/>
              <w:bottom w:type="dxa" w:w="60"/>
              <w:right w:type="dxa" w:w="100"/>
            </w:tcMar>
          </w:tcPr>
          <w:p>
            <w:pPr>
              <w:spacing w:after="0"/>
            </w:pPr>
            <w:r>
              <w:rPr>
                <w:rFonts w:ascii="Calibri" w:cs="Calibri" w:eastAsia="Calibri" w:hAnsi="Calibri"/>
                <w:b/>
                <w:bCs/>
                <w:color w:val="1E2347"/>
                <w:sz w:val="19"/>
                <w:szCs w:val="19"/>
              </w:rPr>
              <w:t xml:space="preserve">Référence</w:t>
            </w:r>
          </w:p>
        </w:tc>
        <w:tc>
          <w:tcPr>
            <w:tcW w:type="dxa" w:w="1000"/>
            <w:shd w:fill="F2EEE7" w:color="auto" w:val="clear"/>
            <w:tcMar>
              <w:top w:type="dxa" w:w="60"/>
              <w:left w:type="dxa" w:w="100"/>
              <w:bottom w:type="dxa" w:w="60"/>
              <w:right w:type="dxa" w:w="100"/>
            </w:tcMar>
          </w:tcPr>
          <w:p>
            <w:pPr>
              <w:spacing w:after="0"/>
            </w:pPr>
            <w:r>
              <w:rPr>
                <w:rFonts w:ascii="Calibri" w:cs="Calibri" w:eastAsia="Calibri" w:hAnsi="Calibri"/>
                <w:b/>
                <w:bCs/>
                <w:color w:val="1E2347"/>
                <w:sz w:val="19"/>
                <w:szCs w:val="19"/>
              </w:rPr>
              <w:t xml:space="preserve">Lot</w:t>
            </w:r>
          </w:p>
        </w:tc>
        <w:tc>
          <w:tcPr>
            <w:tcW w:type="dxa" w:w="4926"/>
            <w:shd w:fill="F2EEE7" w:color="auto" w:val="clear"/>
            <w:tcMar>
              <w:top w:type="dxa" w:w="60"/>
              <w:left w:type="dxa" w:w="100"/>
              <w:bottom w:type="dxa" w:w="60"/>
              <w:right w:type="dxa" w:w="100"/>
            </w:tcMar>
          </w:tcPr>
          <w:p>
            <w:pPr>
              <w:spacing w:after="0"/>
            </w:pPr>
            <w:r>
              <w:rPr>
                <w:rFonts w:ascii="Calibri" w:cs="Calibri" w:eastAsia="Calibri" w:hAnsi="Calibri"/>
                <w:b/>
                <w:bCs/>
                <w:color w:val="1E2347"/>
                <w:sz w:val="19"/>
                <w:szCs w:val="19"/>
              </w:rPr>
              <w:t xml:space="preserve">Objet</w:t>
            </w:r>
          </w:p>
        </w:tc>
        <w:tc>
          <w:tcPr>
            <w:tcW w:type="dxa" w:w="2000"/>
            <w:shd w:fill="F2EEE7" w:color="auto" w:val="clear"/>
            <w:tcMar>
              <w:top w:type="dxa" w:w="60"/>
              <w:left w:type="dxa" w:w="100"/>
              <w:bottom w:type="dxa" w:w="60"/>
              <w:right w:type="dxa" w:w="100"/>
            </w:tcMar>
          </w:tcPr>
          <w:p>
            <w:pPr>
              <w:spacing w:after="0"/>
            </w:pPr>
            <w:r>
              <w:rPr>
                <w:rFonts w:ascii="Calibri" w:cs="Calibri" w:eastAsia="Calibri" w:hAnsi="Calibri"/>
                <w:b/>
                <w:bCs/>
                <w:color w:val="1E2347"/>
                <w:sz w:val="19"/>
                <w:szCs w:val="19"/>
              </w:rPr>
              <w:t xml:space="preserve">Écarts traités</w:t>
            </w:r>
          </w:p>
        </w:tc>
      </w:tr>
      <w:tr>
        <w:tc>
          <w:tcPr>
            <w:tcW w:type="dxa" w:w="1100"/>
            <w:tcMar>
              <w:top w:type="dxa" w:w="60"/>
              <w:left w:type="dxa" w:w="100"/>
              <w:bottom w:type="dxa" w:w="60"/>
              <w:right w:type="dxa" w:w="100"/>
            </w:tcMar>
          </w:tcPr>
          <w:p>
            <w:pPr>
              <w:spacing w:after="0"/>
            </w:pPr>
            <w:r>
              <w:rPr>
                <w:rFonts w:ascii="Calibri" w:cs="Calibri" w:eastAsia="Calibri" w:hAnsi="Calibri"/>
                <w:b/>
                <w:bCs/>
                <w:color w:val="1E2347"/>
                <w:sz w:val="19"/>
                <w:szCs w:val="19"/>
              </w:rPr>
              <w:t xml:space="preserve">#135</w:t>
            </w:r>
          </w:p>
        </w:tc>
        <w:tc>
          <w:tcPr>
            <w:tcW w:type="dxa" w:w="1000"/>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Lot 5</w:t>
            </w:r>
          </w:p>
        </w:tc>
        <w:tc>
          <w:tcPr>
            <w:tcW w:type="dxa" w:w="4926"/>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Registre d’audit unique ; audit fonctionnel complet du produit</w:t>
            </w:r>
          </w:p>
        </w:tc>
        <w:tc>
          <w:tcPr>
            <w:tcW w:type="dxa" w:w="2000"/>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C5, D8, D9</w:t>
            </w:r>
          </w:p>
        </w:tc>
      </w:tr>
      <w:tr>
        <w:tc>
          <w:tcPr>
            <w:tcW w:type="dxa" w:w="1100"/>
            <w:tcMar>
              <w:top w:type="dxa" w:w="60"/>
              <w:left w:type="dxa" w:w="100"/>
              <w:bottom w:type="dxa" w:w="60"/>
              <w:right w:type="dxa" w:w="100"/>
            </w:tcMar>
          </w:tcPr>
          <w:p>
            <w:pPr>
              <w:spacing w:after="0"/>
            </w:pPr>
            <w:r>
              <w:rPr>
                <w:rFonts w:ascii="Calibri" w:cs="Calibri" w:eastAsia="Calibri" w:hAnsi="Calibri"/>
                <w:b/>
                <w:bCs/>
                <w:color w:val="1E2347"/>
                <w:sz w:val="19"/>
                <w:szCs w:val="19"/>
              </w:rPr>
              <w:t xml:space="preserve">#136</w:t>
            </w:r>
          </w:p>
        </w:tc>
        <w:tc>
          <w:tcPr>
            <w:tcW w:type="dxa" w:w="1000"/>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w:t>
            </w:r>
          </w:p>
        </w:tc>
        <w:tc>
          <w:tcPr>
            <w:tcW w:type="dxa" w:w="4926"/>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Retrait conservatoire du moyen de paiement « Wallet »</w:t>
            </w:r>
          </w:p>
        </w:tc>
        <w:tc>
          <w:tcPr>
            <w:tcW w:type="dxa" w:w="2000"/>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D2</w:t>
            </w:r>
          </w:p>
        </w:tc>
      </w:tr>
      <w:tr>
        <w:tc>
          <w:tcPr>
            <w:tcW w:type="dxa" w:w="1100"/>
            <w:tcMar>
              <w:top w:type="dxa" w:w="60"/>
              <w:left w:type="dxa" w:w="100"/>
              <w:bottom w:type="dxa" w:w="60"/>
              <w:right w:type="dxa" w:w="100"/>
            </w:tcMar>
          </w:tcPr>
          <w:p>
            <w:pPr>
              <w:spacing w:after="0"/>
            </w:pPr>
            <w:r>
              <w:rPr>
                <w:rFonts w:ascii="Calibri" w:cs="Calibri" w:eastAsia="Calibri" w:hAnsi="Calibri"/>
                <w:b/>
                <w:bCs/>
                <w:color w:val="1E2347"/>
                <w:sz w:val="19"/>
                <w:szCs w:val="19"/>
              </w:rPr>
              <w:t xml:space="preserve">#137</w:t>
            </w:r>
          </w:p>
        </w:tc>
        <w:tc>
          <w:tcPr>
            <w:tcW w:type="dxa" w:w="1000"/>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Lot 7</w:t>
            </w:r>
          </w:p>
        </w:tc>
        <w:tc>
          <w:tcPr>
            <w:tcW w:type="dxa" w:w="4926"/>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Téléconsultation : ouverture et clôture de séance par le médecin</w:t>
            </w:r>
          </w:p>
        </w:tc>
        <w:tc>
          <w:tcPr>
            <w:tcW w:type="dxa" w:w="2000"/>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D1</w:t>
            </w:r>
          </w:p>
        </w:tc>
      </w:tr>
      <w:tr>
        <w:tc>
          <w:tcPr>
            <w:tcW w:type="dxa" w:w="1100"/>
            <w:tcMar>
              <w:top w:type="dxa" w:w="60"/>
              <w:left w:type="dxa" w:w="100"/>
              <w:bottom w:type="dxa" w:w="60"/>
              <w:right w:type="dxa" w:w="100"/>
            </w:tcMar>
          </w:tcPr>
          <w:p>
            <w:pPr>
              <w:spacing w:after="0"/>
            </w:pPr>
            <w:r>
              <w:rPr>
                <w:rFonts w:ascii="Calibri" w:cs="Calibri" w:eastAsia="Calibri" w:hAnsi="Calibri"/>
                <w:b/>
                <w:bCs/>
                <w:color w:val="1E2347"/>
                <w:sz w:val="19"/>
                <w:szCs w:val="19"/>
              </w:rPr>
              <w:t xml:space="preserve">#138</w:t>
            </w:r>
          </w:p>
        </w:tc>
        <w:tc>
          <w:tcPr>
            <w:tcW w:type="dxa" w:w="1000"/>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Lot 9</w:t>
            </w:r>
          </w:p>
        </w:tc>
        <w:tc>
          <w:tcPr>
            <w:tcW w:type="dxa" w:w="4926"/>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File de relecture médicale des contenus de prévention</w:t>
            </w:r>
          </w:p>
        </w:tc>
        <w:tc>
          <w:tcPr>
            <w:tcW w:type="dxa" w:w="2000"/>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D3</w:t>
            </w:r>
          </w:p>
        </w:tc>
      </w:tr>
      <w:tr>
        <w:tc>
          <w:tcPr>
            <w:tcW w:type="dxa" w:w="1100"/>
            <w:tcMar>
              <w:top w:type="dxa" w:w="60"/>
              <w:left w:type="dxa" w:w="100"/>
              <w:bottom w:type="dxa" w:w="60"/>
              <w:right w:type="dxa" w:w="100"/>
            </w:tcMar>
          </w:tcPr>
          <w:p>
            <w:pPr>
              <w:spacing w:after="0"/>
            </w:pPr>
            <w:r>
              <w:rPr>
                <w:rFonts w:ascii="Calibri" w:cs="Calibri" w:eastAsia="Calibri" w:hAnsi="Calibri"/>
                <w:b/>
                <w:bCs/>
                <w:color w:val="1E2347"/>
                <w:sz w:val="19"/>
                <w:szCs w:val="19"/>
              </w:rPr>
              <w:t xml:space="preserve">#139</w:t>
            </w:r>
          </w:p>
        </w:tc>
        <w:tc>
          <w:tcPr>
            <w:tcW w:type="dxa" w:w="1000"/>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Lot 10</w:t>
            </w:r>
          </w:p>
        </w:tc>
        <w:tc>
          <w:tcPr>
            <w:tcW w:type="dxa" w:w="4926"/>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Fiche professionnelle, tri des rendez-vous, clôture d’alerte SOS</w:t>
            </w:r>
          </w:p>
        </w:tc>
        <w:tc>
          <w:tcPr>
            <w:tcW w:type="dxa" w:w="2000"/>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D4, D5, D6</w:t>
            </w:r>
          </w:p>
        </w:tc>
      </w:tr>
      <w:tr>
        <w:tc>
          <w:tcPr>
            <w:tcW w:type="dxa" w:w="1100"/>
            <w:tcMar>
              <w:top w:type="dxa" w:w="60"/>
              <w:left w:type="dxa" w:w="100"/>
              <w:bottom w:type="dxa" w:w="60"/>
              <w:right w:type="dxa" w:w="100"/>
            </w:tcMar>
          </w:tcPr>
          <w:p>
            <w:pPr>
              <w:spacing w:after="0"/>
            </w:pPr>
            <w:r>
              <w:rPr>
                <w:rFonts w:ascii="Calibri" w:cs="Calibri" w:eastAsia="Calibri" w:hAnsi="Calibri"/>
                <w:b/>
                <w:bCs/>
                <w:color w:val="1E2347"/>
                <w:sz w:val="19"/>
                <w:szCs w:val="19"/>
              </w:rPr>
              <w:t xml:space="preserve">#140</w:t>
            </w:r>
          </w:p>
        </w:tc>
        <w:tc>
          <w:tcPr>
            <w:tcW w:type="dxa" w:w="1000"/>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Lot 11</w:t>
            </w:r>
          </w:p>
        </w:tc>
        <w:tc>
          <w:tcPr>
            <w:tcW w:type="dxa" w:w="4926"/>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Suppression d’un module sans consommateur</w:t>
            </w:r>
          </w:p>
        </w:tc>
        <w:tc>
          <w:tcPr>
            <w:tcW w:type="dxa" w:w="2000"/>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D7</w:t>
            </w:r>
          </w:p>
        </w:tc>
      </w:tr>
      <w:tr>
        <w:tc>
          <w:tcPr>
            <w:tcW w:type="dxa" w:w="1100"/>
            <w:tcMar>
              <w:top w:type="dxa" w:w="60"/>
              <w:left w:type="dxa" w:w="100"/>
              <w:bottom w:type="dxa" w:w="60"/>
              <w:right w:type="dxa" w:w="100"/>
            </w:tcMar>
          </w:tcPr>
          <w:p>
            <w:pPr>
              <w:spacing w:after="0"/>
            </w:pPr>
            <w:r>
              <w:rPr>
                <w:rFonts w:ascii="Calibri" w:cs="Calibri" w:eastAsia="Calibri" w:hAnsi="Calibri"/>
                <w:b/>
                <w:bCs/>
                <w:color w:val="1E2347"/>
                <w:sz w:val="19"/>
                <w:szCs w:val="19"/>
              </w:rPr>
              <w:t xml:space="preserve">#141</w:t>
            </w:r>
          </w:p>
        </w:tc>
        <w:tc>
          <w:tcPr>
            <w:tcW w:type="dxa" w:w="1000"/>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Lot 8</w:t>
            </w:r>
          </w:p>
        </w:tc>
        <w:tc>
          <w:tcPr>
            <w:tcW w:type="dxa" w:w="4926"/>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Intégration FedaPay (bac à sable et production) ; paiement par portefeuille</w:t>
            </w:r>
          </w:p>
        </w:tc>
        <w:tc>
          <w:tcPr>
            <w:tcW w:type="dxa" w:w="2000"/>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D2</w:t>
            </w:r>
          </w:p>
        </w:tc>
      </w:tr>
      <w:tr>
        <w:tc>
          <w:tcPr>
            <w:tcW w:type="dxa" w:w="1100"/>
            <w:tcMar>
              <w:top w:type="dxa" w:w="60"/>
              <w:left w:type="dxa" w:w="100"/>
              <w:bottom w:type="dxa" w:w="60"/>
              <w:right w:type="dxa" w:w="100"/>
            </w:tcMar>
          </w:tcPr>
          <w:p>
            <w:pPr>
              <w:spacing w:after="0"/>
            </w:pPr>
            <w:r>
              <w:rPr>
                <w:rFonts w:ascii="Calibri" w:cs="Calibri" w:eastAsia="Calibri" w:hAnsi="Calibri"/>
                <w:b/>
                <w:bCs/>
                <w:color w:val="1E2347"/>
                <w:sz w:val="19"/>
                <w:szCs w:val="19"/>
              </w:rPr>
              <w:t xml:space="preserve">#142</w:t>
            </w:r>
          </w:p>
        </w:tc>
        <w:tc>
          <w:tcPr>
            <w:tcW w:type="dxa" w:w="1000"/>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Lot 6</w:t>
            </w:r>
          </w:p>
        </w:tc>
        <w:tc>
          <w:tcPr>
            <w:tcW w:type="dxa" w:w="4926"/>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Correction de l’infrastructure de déploiement</w:t>
            </w:r>
          </w:p>
        </w:tc>
        <w:tc>
          <w:tcPr>
            <w:tcW w:type="dxa" w:w="2000"/>
            <w:tcMar>
              <w:top w:type="dxa" w:w="60"/>
              <w:left w:type="dxa" w:w="100"/>
              <w:bottom w:type="dxa" w:w="60"/>
              <w:right w:type="dxa" w:w="100"/>
            </w:tcMar>
          </w:tcPr>
          <w:p>
            <w:pPr>
              <w:spacing w:after="0"/>
            </w:pPr>
            <w:r>
              <w:rPr>
                <w:rFonts w:ascii="Calibri" w:cs="Calibri" w:eastAsia="Calibri" w:hAnsi="Calibri"/>
                <w:b w:val="false"/>
                <w:bCs w:val="false"/>
                <w:color w:val="000000"/>
                <w:sz w:val="19"/>
                <w:szCs w:val="19"/>
              </w:rPr>
              <w:t xml:space="preserve">Infrastructure</w:t>
            </w:r>
          </w:p>
        </w:tc>
      </w:tr>
    </w:tbl>
    <w:p>
      <w:pPr>
        <w:spacing w:after="160"/>
      </w:pPr>
      <w:r>
        <w:rPr>
          <w:rFonts w:ascii="Calibri" w:cs="Calibri" w:eastAsia="Calibri" w:hAnsi="Calibri"/>
          <w:color w:val="000000"/>
          <w:sz w:val="21"/>
          <w:szCs w:val="21"/>
        </w:rPr>
        <w:t xml:space="preserve"> </w:t>
      </w:r>
    </w:p>
    <w:p>
      <w:pPr>
        <w:pStyle w:val="Heading2"/>
        <w:spacing w:after="140" w:before="220"/>
      </w:pPr>
      <w:r>
        <w:rPr>
          <w:rFonts w:ascii="Calibri" w:cs="Calibri" w:eastAsia="Calibri" w:hAnsi="Calibri"/>
          <w:b/>
          <w:bCs/>
          <w:color w:val="2E7D46"/>
          <w:sz w:val="24"/>
          <w:szCs w:val="24"/>
        </w:rPr>
        <w:t xml:space="preserve">II.2 Anomalies majeures corrigées</w:t>
      </w:r>
    </w:p>
    <w:p>
      <w:pPr>
        <w:spacing w:after="120"/>
      </w:pPr>
      <w:r>
        <w:rPr>
          <w:rFonts w:ascii="Calibri" w:cs="Calibri" w:eastAsia="Calibri" w:hAnsi="Calibri"/>
          <w:color w:val="000000"/>
          <w:sz w:val="21"/>
          <w:szCs w:val="21"/>
        </w:rPr>
        <w:t xml:space="preserve">Quatre anomalies auraient atteint les usagers en production. Aucune n’était détectable par la suite de tests telle qu’elle existait au début de la période. Elles sont exposées ci-après avec leur conséquence, leur mode de détection et le correctif apporté.</w:t>
      </w:r>
    </w:p>
    <w:p>
      <w:pPr>
        <w:pStyle w:val="Heading2"/>
        <w:spacing w:after="140" w:before="220"/>
      </w:pPr>
      <w:r>
        <w:rPr>
          <w:rFonts w:ascii="Calibri" w:cs="Calibri" w:eastAsia="Calibri" w:hAnsi="Calibri"/>
          <w:b/>
          <w:bCs/>
          <w:color w:val="2E7D46"/>
          <w:sz w:val="24"/>
          <w:szCs w:val="24"/>
        </w:rPr>
        <w:t xml:space="preserve">II.2.1 Vérification de signature des notifications de paiement inopérante</w:t>
      </w:r>
    </w:p>
    <w:tbl>
      <w:tblPr>
        <w:tblW w:type="dxa" w:w="9026"/>
        <w:tblBorders>
          <w:top w:val="single" w:color="CCC4B8" w:sz="4"/>
          <w:left w:val="single" w:color="CCC4B8" w:sz="4"/>
          <w:bottom w:val="single" w:color="CCC4B8" w:sz="4"/>
          <w:right w:val="single" w:color="CCC4B8" w:sz="4"/>
          <w:insideH w:val="single" w:color="DDD6CB" w:sz="2"/>
          <w:insideV w:val="single" w:color="DDD6CB" w:sz="2"/>
        </w:tblBorders>
      </w:tblPr>
      <w:tblGrid>
        <w:gridCol w:w="2200"/>
        <w:gridCol w:w="6826"/>
      </w:tblGrid>
      <w:tr>
        <w:tc>
          <w:tcPr>
            <w:tcW w:type="dxa" w:w="2200"/>
            <w:shd w:fill="F2EEE7" w:color="auto" w:val="clear"/>
            <w:tcMar>
              <w:top w:type="dxa" w:w="60"/>
              <w:left w:type="dxa" w:w="100"/>
              <w:bottom w:type="dxa" w:w="60"/>
              <w:right w:type="dxa" w:w="100"/>
            </w:tcMar>
          </w:tcPr>
          <w:p>
            <w:pPr>
              <w:spacing w:after="0"/>
            </w:pPr>
            <w:r>
              <w:rPr>
                <w:rFonts w:ascii="Calibri" w:cs="Calibri" w:eastAsia="Calibri" w:hAnsi="Calibri"/>
                <w:b/>
                <w:bCs/>
                <w:color w:val="1E2347"/>
                <w:sz w:val="19"/>
                <w:szCs w:val="19"/>
              </w:rPr>
              <w:t xml:space="preserve">Constat</w:t>
            </w:r>
          </w:p>
        </w:tc>
        <w:tc>
          <w:tcPr>
            <w:tcW w:type="dxa" w:w="6826"/>
            <w:tcMar>
              <w:top w:type="dxa" w:w="60"/>
              <w:left w:type="dxa" w:w="100"/>
              <w:bottom w:type="dxa" w:w="60"/>
              <w:right w:type="dxa" w:w="100"/>
            </w:tcMar>
          </w:tcPr>
          <w:p>
            <w:pPr>
              <w:spacing w:after="0"/>
            </w:pPr>
            <w:r>
              <w:rPr>
                <w:rFonts w:ascii="Calibri" w:cs="Calibri" w:eastAsia="Calibri" w:hAnsi="Calibri"/>
                <w:color w:val="000000"/>
                <w:sz w:val="19"/>
                <w:szCs w:val="19"/>
              </w:rPr>
              <w:t xml:space="preserve">Le contrôle d’authenticité des notifications envoyées par l’opérateur de paiement reposait sur un format de signature erroné : la signature était calculée sur le corps du message seul, alors que l’opérateur signe le couple horodatage + message.</w:t>
            </w:r>
          </w:p>
        </w:tc>
      </w:tr>
      <w:tr>
        <w:tc>
          <w:tcPr>
            <w:tcW w:type="dxa" w:w="2200"/>
            <w:shd w:fill="F2EEE7" w:color="auto" w:val="clear"/>
            <w:tcMar>
              <w:top w:type="dxa" w:w="60"/>
              <w:left w:type="dxa" w:w="100"/>
              <w:bottom w:type="dxa" w:w="60"/>
              <w:right w:type="dxa" w:w="100"/>
            </w:tcMar>
          </w:tcPr>
          <w:p>
            <w:pPr>
              <w:spacing w:after="0"/>
            </w:pPr>
            <w:r>
              <w:rPr>
                <w:rFonts w:ascii="Calibri" w:cs="Calibri" w:eastAsia="Calibri" w:hAnsi="Calibri"/>
                <w:b/>
                <w:bCs/>
                <w:color w:val="1E2347"/>
                <w:sz w:val="19"/>
                <w:szCs w:val="19"/>
              </w:rPr>
              <w:t xml:space="preserve">Conséquence évitée</w:t>
            </w:r>
          </w:p>
        </w:tc>
        <w:tc>
          <w:tcPr>
            <w:tcW w:type="dxa" w:w="6826"/>
            <w:tcMar>
              <w:top w:type="dxa" w:w="60"/>
              <w:left w:type="dxa" w:w="100"/>
              <w:bottom w:type="dxa" w:w="60"/>
              <w:right w:type="dxa" w:w="100"/>
            </w:tcMar>
          </w:tcPr>
          <w:p>
            <w:pPr>
              <w:spacing w:after="0"/>
            </w:pPr>
            <w:r>
              <w:rPr>
                <w:rFonts w:ascii="Calibri" w:cs="Calibri" w:eastAsia="Calibri" w:hAnsi="Calibri"/>
                <w:color w:val="B3261E"/>
                <w:sz w:val="19"/>
                <w:szCs w:val="19"/>
              </w:rPr>
              <w:t xml:space="preserve">En production, toute notification de paiement authentique aurait été rejetée. Aucun paiement par Mobile Money n’aurait été confirmé et aucune recharge de portefeuille créditée ; seul le rapprochement nocturne aurait régularisé les statuts, avec jusqu’à vingt-quatre heures de retard.</w:t>
            </w:r>
          </w:p>
        </w:tc>
      </w:tr>
      <w:tr>
        <w:tc>
          <w:tcPr>
            <w:tcW w:type="dxa" w:w="2200"/>
            <w:shd w:fill="F2EEE7" w:color="auto" w:val="clear"/>
            <w:tcMar>
              <w:top w:type="dxa" w:w="60"/>
              <w:left w:type="dxa" w:w="100"/>
              <w:bottom w:type="dxa" w:w="60"/>
              <w:right w:type="dxa" w:w="100"/>
            </w:tcMar>
          </w:tcPr>
          <w:p>
            <w:pPr>
              <w:spacing w:after="0"/>
            </w:pPr>
            <w:r>
              <w:rPr>
                <w:rFonts w:ascii="Calibri" w:cs="Calibri" w:eastAsia="Calibri" w:hAnsi="Calibri"/>
                <w:b/>
                <w:bCs/>
                <w:color w:val="1E2347"/>
                <w:sz w:val="19"/>
                <w:szCs w:val="19"/>
              </w:rPr>
              <w:t xml:space="preserve">Détection</w:t>
            </w:r>
          </w:p>
        </w:tc>
        <w:tc>
          <w:tcPr>
            <w:tcW w:type="dxa" w:w="6826"/>
            <w:tcMar>
              <w:top w:type="dxa" w:w="60"/>
              <w:left w:type="dxa" w:w="100"/>
              <w:bottom w:type="dxa" w:w="60"/>
              <w:right w:type="dxa" w:w="100"/>
            </w:tcMar>
          </w:tcPr>
          <w:p>
            <w:pPr>
              <w:spacing w:after="0"/>
            </w:pPr>
            <w:r>
              <w:rPr>
                <w:rFonts w:ascii="Calibri" w:cs="Calibri" w:eastAsia="Calibri" w:hAnsi="Calibri"/>
                <w:color w:val="000000"/>
                <w:sz w:val="19"/>
                <w:szCs w:val="19"/>
              </w:rPr>
              <w:t xml:space="preserve">Invisible pour la suite de tests : celle-ci fabriquait la signature avec la même formule erronée que celle qu’elle vérifiait. Le test confirmait l’anomalie au lieu de la révéler.</w:t>
            </w:r>
          </w:p>
        </w:tc>
      </w:tr>
      <w:tr>
        <w:tc>
          <w:tcPr>
            <w:tcW w:type="dxa" w:w="2200"/>
            <w:shd w:fill="F2EEE7" w:color="auto" w:val="clear"/>
            <w:tcMar>
              <w:top w:type="dxa" w:w="60"/>
              <w:left w:type="dxa" w:w="100"/>
              <w:bottom w:type="dxa" w:w="60"/>
              <w:right w:type="dxa" w:w="100"/>
            </w:tcMar>
          </w:tcPr>
          <w:p>
            <w:pPr>
              <w:spacing w:after="0"/>
            </w:pPr>
            <w:r>
              <w:rPr>
                <w:rFonts w:ascii="Calibri" w:cs="Calibri" w:eastAsia="Calibri" w:hAnsi="Calibri"/>
                <w:b/>
                <w:bCs/>
                <w:color w:val="1E2347"/>
                <w:sz w:val="19"/>
                <w:szCs w:val="19"/>
              </w:rPr>
              <w:t xml:space="preserve">Correctif</w:t>
            </w:r>
          </w:p>
        </w:tc>
        <w:tc>
          <w:tcPr>
            <w:tcW w:type="dxa" w:w="6826"/>
            <w:tcMar>
              <w:top w:type="dxa" w:w="60"/>
              <w:left w:type="dxa" w:w="100"/>
              <w:bottom w:type="dxa" w:w="60"/>
              <w:right w:type="dxa" w:w="100"/>
            </w:tcMar>
          </w:tcPr>
          <w:p>
            <w:pPr>
              <w:spacing w:after="0"/>
            </w:pPr>
            <w:r>
              <w:rPr>
                <w:rFonts w:ascii="Calibri" w:cs="Calibri" w:eastAsia="Calibri" w:hAnsi="Calibri"/>
                <w:color w:val="2E7D46"/>
                <w:sz w:val="19"/>
                <w:szCs w:val="19"/>
              </w:rPr>
              <w:t xml:space="preserve">Format aligné sur la spécification de l’opérateur (horodatage, tolérance anti-rejeu, rotation de secret). Le générateur de signature de test est désormais celui du code vérifié, et un test refuse explicitement l’ancien format.</w:t>
            </w:r>
          </w:p>
        </w:tc>
      </w:tr>
    </w:tbl>
    <w:p>
      <w:pPr>
        <w:spacing w:after="160"/>
      </w:pPr>
      <w:r>
        <w:rPr>
          <w:rFonts w:ascii="Calibri" w:cs="Calibri" w:eastAsia="Calibri" w:hAnsi="Calibri"/>
          <w:color w:val="000000"/>
          <w:sz w:val="21"/>
          <w:szCs w:val="21"/>
        </w:rPr>
        <w:t xml:space="preserve"> </w:t>
      </w:r>
    </w:p>
    <w:p>
      <w:pPr>
        <w:pStyle w:val="Heading2"/>
        <w:spacing w:after="140" w:before="220"/>
      </w:pPr>
      <w:r>
        <w:rPr>
          <w:rFonts w:ascii="Calibri" w:cs="Calibri" w:eastAsia="Calibri" w:hAnsi="Calibri"/>
          <w:b/>
          <w:bCs/>
          <w:color w:val="2E7D46"/>
          <w:sz w:val="24"/>
          <w:szCs w:val="24"/>
        </w:rPr>
        <w:t xml:space="preserve">II.2.2 Le paiement par portefeuille ne débitait aucun solde</w:t>
      </w:r>
    </w:p>
    <w:tbl>
      <w:tblPr>
        <w:tblW w:type="dxa" w:w="9026"/>
        <w:tblBorders>
          <w:top w:val="single" w:color="CCC4B8" w:sz="4"/>
          <w:left w:val="single" w:color="CCC4B8" w:sz="4"/>
          <w:bottom w:val="single" w:color="CCC4B8" w:sz="4"/>
          <w:right w:val="single" w:color="CCC4B8" w:sz="4"/>
          <w:insideH w:val="single" w:color="DDD6CB" w:sz="2"/>
          <w:insideV w:val="single" w:color="DDD6CB" w:sz="2"/>
        </w:tblBorders>
      </w:tblPr>
      <w:tblGrid>
        <w:gridCol w:w="2200"/>
        <w:gridCol w:w="6826"/>
      </w:tblGrid>
      <w:tr>
        <w:tc>
          <w:tcPr>
            <w:tcW w:type="dxa" w:w="2200"/>
            <w:shd w:fill="F2EEE7" w:color="auto" w:val="clear"/>
            <w:tcMar>
              <w:top w:type="dxa" w:w="60"/>
              <w:left w:type="dxa" w:w="100"/>
              <w:bottom w:type="dxa" w:w="60"/>
              <w:right w:type="dxa" w:w="100"/>
            </w:tcMar>
          </w:tcPr>
          <w:p>
            <w:pPr>
              <w:spacing w:after="0"/>
            </w:pPr>
            <w:r>
              <w:rPr>
                <w:rFonts w:ascii="Calibri" w:cs="Calibri" w:eastAsia="Calibri" w:hAnsi="Calibri"/>
                <w:b/>
                <w:bCs/>
                <w:color w:val="1E2347"/>
                <w:sz w:val="19"/>
                <w:szCs w:val="19"/>
              </w:rPr>
              <w:t xml:space="preserve">Constat</w:t>
            </w:r>
          </w:p>
        </w:tc>
        <w:tc>
          <w:tcPr>
            <w:tcW w:type="dxa" w:w="6826"/>
            <w:tcMar>
              <w:top w:type="dxa" w:w="60"/>
              <w:left w:type="dxa" w:w="100"/>
              <w:bottom w:type="dxa" w:w="60"/>
              <w:right w:type="dxa" w:w="100"/>
            </w:tcMar>
          </w:tcPr>
          <w:p>
            <w:pPr>
              <w:spacing w:after="0"/>
            </w:pPr>
            <w:r>
              <w:rPr>
                <w:rFonts w:ascii="Calibri" w:cs="Calibri" w:eastAsia="Calibri" w:hAnsi="Calibri"/>
                <w:color w:val="000000"/>
                <w:sz w:val="19"/>
                <w:szCs w:val="19"/>
              </w:rPr>
              <w:t xml:space="preserve">L’interface proposait le portefeuille comme moyen de paiement d’une consultation. Le traitement l’acheminait vers l’opérateur externe sans jamais débiter le solde : le portefeuille était rechargeable mais non dépensable.</w:t>
            </w:r>
          </w:p>
        </w:tc>
      </w:tr>
      <w:tr>
        <w:tc>
          <w:tcPr>
            <w:tcW w:type="dxa" w:w="2200"/>
            <w:shd w:fill="F2EEE7" w:color="auto" w:val="clear"/>
            <w:tcMar>
              <w:top w:type="dxa" w:w="60"/>
              <w:left w:type="dxa" w:w="100"/>
              <w:bottom w:type="dxa" w:w="60"/>
              <w:right w:type="dxa" w:w="100"/>
            </w:tcMar>
          </w:tcPr>
          <w:p>
            <w:pPr>
              <w:spacing w:after="0"/>
            </w:pPr>
            <w:r>
              <w:rPr>
                <w:rFonts w:ascii="Calibri" w:cs="Calibri" w:eastAsia="Calibri" w:hAnsi="Calibri"/>
                <w:b/>
                <w:bCs/>
                <w:color w:val="1E2347"/>
                <w:sz w:val="19"/>
                <w:szCs w:val="19"/>
              </w:rPr>
              <w:t xml:space="preserve">Conséquence évitée</w:t>
            </w:r>
          </w:p>
        </w:tc>
        <w:tc>
          <w:tcPr>
            <w:tcW w:type="dxa" w:w="6826"/>
            <w:tcMar>
              <w:top w:type="dxa" w:w="60"/>
              <w:left w:type="dxa" w:w="100"/>
              <w:bottom w:type="dxa" w:w="60"/>
              <w:right w:type="dxa" w:w="100"/>
            </w:tcMar>
          </w:tcPr>
          <w:p>
            <w:pPr>
              <w:spacing w:after="0"/>
            </w:pPr>
            <w:r>
              <w:rPr>
                <w:rFonts w:ascii="Calibri" w:cs="Calibri" w:eastAsia="Calibri" w:hAnsi="Calibri"/>
                <w:color w:val="B3261E"/>
                <w:sz w:val="19"/>
                <w:szCs w:val="19"/>
              </w:rPr>
              <w:t xml:space="preserve">Outre la promesse non tenue, un seul appui créait un paiement en attente qui verrouillait définitivement le rendez-vous : aucun autre moyen de paiement n’était plus accepté pour celui-ci.</w:t>
            </w:r>
          </w:p>
        </w:tc>
      </w:tr>
      <w:tr>
        <w:tc>
          <w:tcPr>
            <w:tcW w:type="dxa" w:w="2200"/>
            <w:shd w:fill="F2EEE7" w:color="auto" w:val="clear"/>
            <w:tcMar>
              <w:top w:type="dxa" w:w="60"/>
              <w:left w:type="dxa" w:w="100"/>
              <w:bottom w:type="dxa" w:w="60"/>
              <w:right w:type="dxa" w:w="100"/>
            </w:tcMar>
          </w:tcPr>
          <w:p>
            <w:pPr>
              <w:spacing w:after="0"/>
            </w:pPr>
            <w:r>
              <w:rPr>
                <w:rFonts w:ascii="Calibri" w:cs="Calibri" w:eastAsia="Calibri" w:hAnsi="Calibri"/>
                <w:b/>
                <w:bCs/>
                <w:color w:val="1E2347"/>
                <w:sz w:val="19"/>
                <w:szCs w:val="19"/>
              </w:rPr>
              <w:t xml:space="preserve">Détection</w:t>
            </w:r>
          </w:p>
        </w:tc>
        <w:tc>
          <w:tcPr>
            <w:tcW w:type="dxa" w:w="6826"/>
            <w:tcMar>
              <w:top w:type="dxa" w:w="60"/>
              <w:left w:type="dxa" w:w="100"/>
              <w:bottom w:type="dxa" w:w="60"/>
              <w:right w:type="dxa" w:w="100"/>
            </w:tcMar>
          </w:tcPr>
          <w:p>
            <w:pPr>
              <w:spacing w:after="0"/>
            </w:pPr>
            <w:r>
              <w:rPr>
                <w:rFonts w:ascii="Calibri" w:cs="Calibri" w:eastAsia="Calibri" w:hAnsi="Calibri"/>
                <w:color w:val="000000"/>
                <w:sz w:val="19"/>
                <w:szCs w:val="19"/>
              </w:rPr>
              <w:t xml:space="preserve">Écart D2 de l’audit fonctionnel ; le verrouillage du rendez-vous n’a été mesuré qu’au moment du correctif.</w:t>
            </w:r>
          </w:p>
        </w:tc>
      </w:tr>
      <w:tr>
        <w:tc>
          <w:tcPr>
            <w:tcW w:type="dxa" w:w="2200"/>
            <w:shd w:fill="F2EEE7" w:color="auto" w:val="clear"/>
            <w:tcMar>
              <w:top w:type="dxa" w:w="60"/>
              <w:left w:type="dxa" w:w="100"/>
              <w:bottom w:type="dxa" w:w="60"/>
              <w:right w:type="dxa" w:w="100"/>
            </w:tcMar>
          </w:tcPr>
          <w:p>
            <w:pPr>
              <w:spacing w:after="0"/>
            </w:pPr>
            <w:r>
              <w:rPr>
                <w:rFonts w:ascii="Calibri" w:cs="Calibri" w:eastAsia="Calibri" w:hAnsi="Calibri"/>
                <w:b/>
                <w:bCs/>
                <w:color w:val="1E2347"/>
                <w:sz w:val="19"/>
                <w:szCs w:val="19"/>
              </w:rPr>
              <w:t xml:space="preserve">Correctif</w:t>
            </w:r>
          </w:p>
        </w:tc>
        <w:tc>
          <w:tcPr>
            <w:tcW w:type="dxa" w:w="6826"/>
            <w:tcMar>
              <w:top w:type="dxa" w:w="60"/>
              <w:left w:type="dxa" w:w="100"/>
              <w:bottom w:type="dxa" w:w="60"/>
              <w:right w:type="dxa" w:w="100"/>
            </w:tcMar>
          </w:tcPr>
          <w:p>
            <w:pPr>
              <w:spacing w:after="0"/>
            </w:pPr>
            <w:r>
              <w:rPr>
                <w:rFonts w:ascii="Calibri" w:cs="Calibri" w:eastAsia="Calibri" w:hAnsi="Calibri"/>
                <w:color w:val="2E7D46"/>
                <w:sz w:val="19"/>
                <w:szCs w:val="19"/>
              </w:rPr>
              <w:t xml:space="preserve">Retrait immédiat du moyen de paiement (mesure conservatoire), puis mise en œuvre réelle : débit et enregistrement du paiement validés ou annulés ensemble dans une transaction unique.</w:t>
            </w:r>
          </w:p>
        </w:tc>
      </w:tr>
    </w:tbl>
    <w:p>
      <w:pPr>
        <w:spacing w:after="160"/>
      </w:pPr>
      <w:r>
        <w:rPr>
          <w:rFonts w:ascii="Calibri" w:cs="Calibri" w:eastAsia="Calibri" w:hAnsi="Calibri"/>
          <w:color w:val="000000"/>
          <w:sz w:val="21"/>
          <w:szCs w:val="21"/>
        </w:rPr>
        <w:t xml:space="preserve"> </w:t>
      </w:r>
    </w:p>
    <w:p>
      <w:pPr>
        <w:pStyle w:val="Heading2"/>
        <w:spacing w:after="140" w:before="220"/>
      </w:pPr>
      <w:r>
        <w:rPr>
          <w:rFonts w:ascii="Calibri" w:cs="Calibri" w:eastAsia="Calibri" w:hAnsi="Calibri"/>
          <w:b/>
          <w:bCs/>
          <w:color w:val="2E7D46"/>
          <w:sz w:val="24"/>
          <w:szCs w:val="24"/>
        </w:rPr>
        <w:t xml:space="preserve">II.2.3 Rappels de vaccination et de suivi de grossesse jamais déclenchés</w:t>
      </w:r>
    </w:p>
    <w:tbl>
      <w:tblPr>
        <w:tblW w:type="dxa" w:w="9026"/>
        <w:tblBorders>
          <w:top w:val="single" w:color="CCC4B8" w:sz="4"/>
          <w:left w:val="single" w:color="CCC4B8" w:sz="4"/>
          <w:bottom w:val="single" w:color="CCC4B8" w:sz="4"/>
          <w:right w:val="single" w:color="CCC4B8" w:sz="4"/>
          <w:insideH w:val="single" w:color="DDD6CB" w:sz="2"/>
          <w:insideV w:val="single" w:color="DDD6CB" w:sz="2"/>
        </w:tblBorders>
      </w:tblPr>
      <w:tblGrid>
        <w:gridCol w:w="2200"/>
        <w:gridCol w:w="6826"/>
      </w:tblGrid>
      <w:tr>
        <w:tc>
          <w:tcPr>
            <w:tcW w:type="dxa" w:w="2200"/>
            <w:shd w:fill="F2EEE7" w:color="auto" w:val="clear"/>
            <w:tcMar>
              <w:top w:type="dxa" w:w="60"/>
              <w:left w:type="dxa" w:w="100"/>
              <w:bottom w:type="dxa" w:w="60"/>
              <w:right w:type="dxa" w:w="100"/>
            </w:tcMar>
          </w:tcPr>
          <w:p>
            <w:pPr>
              <w:spacing w:after="0"/>
            </w:pPr>
            <w:r>
              <w:rPr>
                <w:rFonts w:ascii="Calibri" w:cs="Calibri" w:eastAsia="Calibri" w:hAnsi="Calibri"/>
                <w:b/>
                <w:bCs/>
                <w:color w:val="1E2347"/>
                <w:sz w:val="19"/>
                <w:szCs w:val="19"/>
              </w:rPr>
              <w:t xml:space="preserve">Constat</w:t>
            </w:r>
          </w:p>
        </w:tc>
        <w:tc>
          <w:tcPr>
            <w:tcW w:type="dxa" w:w="6826"/>
            <w:tcMar>
              <w:top w:type="dxa" w:w="60"/>
              <w:left w:type="dxa" w:w="100"/>
              <w:bottom w:type="dxa" w:w="60"/>
              <w:right w:type="dxa" w:w="100"/>
            </w:tcMar>
          </w:tcPr>
          <w:p>
            <w:pPr>
              <w:spacing w:after="0"/>
            </w:pPr>
            <w:r>
              <w:rPr>
                <w:rFonts w:ascii="Calibri" w:cs="Calibri" w:eastAsia="Calibri" w:hAnsi="Calibri"/>
                <w:color w:val="000000"/>
                <w:sz w:val="19"/>
                <w:szCs w:val="19"/>
              </w:rPr>
              <w:t xml:space="preserve">Les générateurs de rappels du Programme élargi de vaccination et des consultations prénatales étaient développés et testés, mais absents de la planification des tâches du serveur.</w:t>
            </w:r>
          </w:p>
        </w:tc>
      </w:tr>
      <w:tr>
        <w:tc>
          <w:tcPr>
            <w:tcW w:type="dxa" w:w="2200"/>
            <w:shd w:fill="F2EEE7" w:color="auto" w:val="clear"/>
            <w:tcMar>
              <w:top w:type="dxa" w:w="60"/>
              <w:left w:type="dxa" w:w="100"/>
              <w:bottom w:type="dxa" w:w="60"/>
              <w:right w:type="dxa" w:w="100"/>
            </w:tcMar>
          </w:tcPr>
          <w:p>
            <w:pPr>
              <w:spacing w:after="0"/>
            </w:pPr>
            <w:r>
              <w:rPr>
                <w:rFonts w:ascii="Calibri" w:cs="Calibri" w:eastAsia="Calibri" w:hAnsi="Calibri"/>
                <w:b/>
                <w:bCs/>
                <w:color w:val="1E2347"/>
                <w:sz w:val="19"/>
                <w:szCs w:val="19"/>
              </w:rPr>
              <w:t xml:space="preserve">Conséquence évitée</w:t>
            </w:r>
          </w:p>
        </w:tc>
        <w:tc>
          <w:tcPr>
            <w:tcW w:type="dxa" w:w="6826"/>
            <w:tcMar>
              <w:top w:type="dxa" w:w="60"/>
              <w:left w:type="dxa" w:w="100"/>
              <w:bottom w:type="dxa" w:w="60"/>
              <w:right w:type="dxa" w:w="100"/>
            </w:tcMar>
          </w:tcPr>
          <w:p>
            <w:pPr>
              <w:spacing w:after="0"/>
            </w:pPr>
            <w:r>
              <w:rPr>
                <w:rFonts w:ascii="Calibri" w:cs="Calibri" w:eastAsia="Calibri" w:hAnsi="Calibri"/>
                <w:color w:val="B3261E"/>
                <w:sz w:val="19"/>
                <w:szCs w:val="19"/>
              </w:rPr>
              <w:t xml:space="preserve">Aucun rappel de vaccination ni de suivi de grossesse n’aurait été émis, sans aucun signal d’alerte. Deux fonctionnalités destinées aux mères et aux nourrissons auraient été livrées et inertes.</w:t>
            </w:r>
          </w:p>
        </w:tc>
      </w:tr>
      <w:tr>
        <w:tc>
          <w:tcPr>
            <w:tcW w:type="dxa" w:w="2200"/>
            <w:shd w:fill="F2EEE7" w:color="auto" w:val="clear"/>
            <w:tcMar>
              <w:top w:type="dxa" w:w="60"/>
              <w:left w:type="dxa" w:w="100"/>
              <w:bottom w:type="dxa" w:w="60"/>
              <w:right w:type="dxa" w:w="100"/>
            </w:tcMar>
          </w:tcPr>
          <w:p>
            <w:pPr>
              <w:spacing w:after="0"/>
            </w:pPr>
            <w:r>
              <w:rPr>
                <w:rFonts w:ascii="Calibri" w:cs="Calibri" w:eastAsia="Calibri" w:hAnsi="Calibri"/>
                <w:b/>
                <w:bCs/>
                <w:color w:val="1E2347"/>
                <w:sz w:val="19"/>
                <w:szCs w:val="19"/>
              </w:rPr>
              <w:t xml:space="preserve">Détection</w:t>
            </w:r>
          </w:p>
        </w:tc>
        <w:tc>
          <w:tcPr>
            <w:tcW w:type="dxa" w:w="6826"/>
            <w:tcMar>
              <w:top w:type="dxa" w:w="60"/>
              <w:left w:type="dxa" w:w="100"/>
              <w:bottom w:type="dxa" w:w="60"/>
              <w:right w:type="dxa" w:w="100"/>
            </w:tcMar>
          </w:tcPr>
          <w:p>
            <w:pPr>
              <w:spacing w:after="0"/>
            </w:pPr>
            <w:r>
              <w:rPr>
                <w:rFonts w:ascii="Calibri" w:cs="Calibri" w:eastAsia="Calibri" w:hAnsi="Calibri"/>
                <w:color w:val="000000"/>
                <w:sz w:val="19"/>
                <w:szCs w:val="19"/>
              </w:rPr>
              <w:t xml:space="preserve">Découvert lors de l’audit de l’infrastructure de déploiement (lot 6).</w:t>
            </w:r>
          </w:p>
        </w:tc>
      </w:tr>
      <w:tr>
        <w:tc>
          <w:tcPr>
            <w:tcW w:type="dxa" w:w="2200"/>
            <w:shd w:fill="F2EEE7" w:color="auto" w:val="clear"/>
            <w:tcMar>
              <w:top w:type="dxa" w:w="60"/>
              <w:left w:type="dxa" w:w="100"/>
              <w:bottom w:type="dxa" w:w="60"/>
              <w:right w:type="dxa" w:w="100"/>
            </w:tcMar>
          </w:tcPr>
          <w:p>
            <w:pPr>
              <w:spacing w:after="0"/>
            </w:pPr>
            <w:r>
              <w:rPr>
                <w:rFonts w:ascii="Calibri" w:cs="Calibri" w:eastAsia="Calibri" w:hAnsi="Calibri"/>
                <w:b/>
                <w:bCs/>
                <w:color w:val="1E2347"/>
                <w:sz w:val="19"/>
                <w:szCs w:val="19"/>
              </w:rPr>
              <w:t xml:space="preserve">Correctif</w:t>
            </w:r>
          </w:p>
        </w:tc>
        <w:tc>
          <w:tcPr>
            <w:tcW w:type="dxa" w:w="6826"/>
            <w:tcMar>
              <w:top w:type="dxa" w:w="60"/>
              <w:left w:type="dxa" w:w="100"/>
              <w:bottom w:type="dxa" w:w="60"/>
              <w:right w:type="dxa" w:w="100"/>
            </w:tcMar>
          </w:tcPr>
          <w:p>
            <w:pPr>
              <w:spacing w:after="0"/>
            </w:pPr>
            <w:r>
              <w:rPr>
                <w:rFonts w:ascii="Calibri" w:cs="Calibri" w:eastAsia="Calibri" w:hAnsi="Calibri"/>
                <w:color w:val="2E7D46"/>
                <w:sz w:val="19"/>
                <w:szCs w:val="19"/>
              </w:rPr>
              <w:t xml:space="preserve">Planification ajoutée. Une règle de développement est consignée : tout nouveau traitement périodique rejoint la planification dans le même lot que sa livraison.</w:t>
            </w:r>
          </w:p>
        </w:tc>
      </w:tr>
    </w:tbl>
    <w:p>
      <w:pPr>
        <w:spacing w:after="160"/>
      </w:pPr>
      <w:r>
        <w:rPr>
          <w:rFonts w:ascii="Calibri" w:cs="Calibri" w:eastAsia="Calibri" w:hAnsi="Calibri"/>
          <w:color w:val="000000"/>
          <w:sz w:val="21"/>
          <w:szCs w:val="21"/>
        </w:rPr>
        <w:t xml:space="preserve"> </w:t>
      </w:r>
    </w:p>
    <w:p>
      <w:pPr>
        <w:pStyle w:val="Heading2"/>
        <w:spacing w:after="140" w:before="220"/>
      </w:pPr>
      <w:r>
        <w:rPr>
          <w:rFonts w:ascii="Calibri" w:cs="Calibri" w:eastAsia="Calibri" w:hAnsi="Calibri"/>
          <w:b/>
          <w:bCs/>
          <w:color w:val="2E7D46"/>
          <w:sz w:val="24"/>
          <w:szCs w:val="24"/>
        </w:rPr>
        <w:t xml:space="preserve">II.2.4 Pièces jointes du dossier médical non sauvegardées</w:t>
      </w:r>
    </w:p>
    <w:tbl>
      <w:tblPr>
        <w:tblW w:type="dxa" w:w="9026"/>
        <w:tblBorders>
          <w:top w:val="single" w:color="CCC4B8" w:sz="4"/>
          <w:left w:val="single" w:color="CCC4B8" w:sz="4"/>
          <w:bottom w:val="single" w:color="CCC4B8" w:sz="4"/>
          <w:right w:val="single" w:color="CCC4B8" w:sz="4"/>
          <w:insideH w:val="single" w:color="DDD6CB" w:sz="2"/>
          <w:insideV w:val="single" w:color="DDD6CB" w:sz="2"/>
        </w:tblBorders>
      </w:tblPr>
      <w:tblGrid>
        <w:gridCol w:w="2200"/>
        <w:gridCol w:w="6826"/>
      </w:tblGrid>
      <w:tr>
        <w:tc>
          <w:tcPr>
            <w:tcW w:type="dxa" w:w="2200"/>
            <w:shd w:fill="F2EEE7" w:color="auto" w:val="clear"/>
            <w:tcMar>
              <w:top w:type="dxa" w:w="60"/>
              <w:left w:type="dxa" w:w="100"/>
              <w:bottom w:type="dxa" w:w="60"/>
              <w:right w:type="dxa" w:w="100"/>
            </w:tcMar>
          </w:tcPr>
          <w:p>
            <w:pPr>
              <w:spacing w:after="0"/>
            </w:pPr>
            <w:r>
              <w:rPr>
                <w:rFonts w:ascii="Calibri" w:cs="Calibri" w:eastAsia="Calibri" w:hAnsi="Calibri"/>
                <w:b/>
                <w:bCs/>
                <w:color w:val="1E2347"/>
                <w:sz w:val="19"/>
                <w:szCs w:val="19"/>
              </w:rPr>
              <w:t xml:space="preserve">Constat</w:t>
            </w:r>
          </w:p>
        </w:tc>
        <w:tc>
          <w:tcPr>
            <w:tcW w:type="dxa" w:w="6826"/>
            <w:tcMar>
              <w:top w:type="dxa" w:w="60"/>
              <w:left w:type="dxa" w:w="100"/>
              <w:bottom w:type="dxa" w:w="60"/>
              <w:right w:type="dxa" w:w="100"/>
            </w:tcMar>
          </w:tcPr>
          <w:p>
            <w:pPr>
              <w:spacing w:after="0"/>
            </w:pPr>
            <w:r>
              <w:rPr>
                <w:rFonts w:ascii="Calibri" w:cs="Calibri" w:eastAsia="Calibri" w:hAnsi="Calibri"/>
                <w:color w:val="000000"/>
                <w:sz w:val="19"/>
                <w:szCs w:val="19"/>
              </w:rPr>
              <w:t xml:space="preserve">La sauvegarde nocturne chiffrée ne couvrait que la base de données. Les pièces jointes du dossier médical partagé — donc des données de santé — sont stockées hors base et n’étaient pas archivées.</w:t>
            </w:r>
          </w:p>
        </w:tc>
      </w:tr>
      <w:tr>
        <w:tc>
          <w:tcPr>
            <w:tcW w:type="dxa" w:w="2200"/>
            <w:shd w:fill="F2EEE7" w:color="auto" w:val="clear"/>
            <w:tcMar>
              <w:top w:type="dxa" w:w="60"/>
              <w:left w:type="dxa" w:w="100"/>
              <w:bottom w:type="dxa" w:w="60"/>
              <w:right w:type="dxa" w:w="100"/>
            </w:tcMar>
          </w:tcPr>
          <w:p>
            <w:pPr>
              <w:spacing w:after="0"/>
            </w:pPr>
            <w:r>
              <w:rPr>
                <w:rFonts w:ascii="Calibri" w:cs="Calibri" w:eastAsia="Calibri" w:hAnsi="Calibri"/>
                <w:b/>
                <w:bCs/>
                <w:color w:val="1E2347"/>
                <w:sz w:val="19"/>
                <w:szCs w:val="19"/>
              </w:rPr>
              <w:t xml:space="preserve">Conséquence évitée</w:t>
            </w:r>
          </w:p>
        </w:tc>
        <w:tc>
          <w:tcPr>
            <w:tcW w:type="dxa" w:w="6826"/>
            <w:tcMar>
              <w:top w:type="dxa" w:w="60"/>
              <w:left w:type="dxa" w:w="100"/>
              <w:bottom w:type="dxa" w:w="60"/>
              <w:right w:type="dxa" w:w="100"/>
            </w:tcMar>
          </w:tcPr>
          <w:p>
            <w:pPr>
              <w:spacing w:after="0"/>
            </w:pPr>
            <w:r>
              <w:rPr>
                <w:rFonts w:ascii="Calibri" w:cs="Calibri" w:eastAsia="Calibri" w:hAnsi="Calibri"/>
                <w:color w:val="B3261E"/>
                <w:sz w:val="19"/>
                <w:szCs w:val="19"/>
              </w:rPr>
              <w:t xml:space="preserve">Une restauration aurait produit un dossier médical dont les pièces jointes auraient disparu, sans perte apparente côté base.</w:t>
            </w:r>
          </w:p>
        </w:tc>
      </w:tr>
      <w:tr>
        <w:tc>
          <w:tcPr>
            <w:tcW w:type="dxa" w:w="2200"/>
            <w:shd w:fill="F2EEE7" w:color="auto" w:val="clear"/>
            <w:tcMar>
              <w:top w:type="dxa" w:w="60"/>
              <w:left w:type="dxa" w:w="100"/>
              <w:bottom w:type="dxa" w:w="60"/>
              <w:right w:type="dxa" w:w="100"/>
            </w:tcMar>
          </w:tcPr>
          <w:p>
            <w:pPr>
              <w:spacing w:after="0"/>
            </w:pPr>
            <w:r>
              <w:rPr>
                <w:rFonts w:ascii="Calibri" w:cs="Calibri" w:eastAsia="Calibri" w:hAnsi="Calibri"/>
                <w:b/>
                <w:bCs/>
                <w:color w:val="1E2347"/>
                <w:sz w:val="19"/>
                <w:szCs w:val="19"/>
              </w:rPr>
              <w:t xml:space="preserve">Détection</w:t>
            </w:r>
          </w:p>
        </w:tc>
        <w:tc>
          <w:tcPr>
            <w:tcW w:type="dxa" w:w="6826"/>
            <w:tcMar>
              <w:top w:type="dxa" w:w="60"/>
              <w:left w:type="dxa" w:w="100"/>
              <w:bottom w:type="dxa" w:w="60"/>
              <w:right w:type="dxa" w:w="100"/>
            </w:tcMar>
          </w:tcPr>
          <w:p>
            <w:pPr>
              <w:spacing w:after="0"/>
            </w:pPr>
            <w:r>
              <w:rPr>
                <w:rFonts w:ascii="Calibri" w:cs="Calibri" w:eastAsia="Calibri" w:hAnsi="Calibri"/>
                <w:color w:val="000000"/>
                <w:sz w:val="19"/>
                <w:szCs w:val="19"/>
              </w:rPr>
              <w:t xml:space="preserve">Audit de l’infrastructure (lot 6). Le point figurait comme case à cocher manuelle dans la procédure, ce qui ne constitue pas une sauvegarde.</w:t>
            </w:r>
          </w:p>
        </w:tc>
      </w:tr>
      <w:tr>
        <w:tc>
          <w:tcPr>
            <w:tcW w:type="dxa" w:w="2200"/>
            <w:shd w:fill="F2EEE7" w:color="auto" w:val="clear"/>
            <w:tcMar>
              <w:top w:type="dxa" w:w="60"/>
              <w:left w:type="dxa" w:w="100"/>
              <w:bottom w:type="dxa" w:w="60"/>
              <w:right w:type="dxa" w:w="100"/>
            </w:tcMar>
          </w:tcPr>
          <w:p>
            <w:pPr>
              <w:spacing w:after="0"/>
            </w:pPr>
            <w:r>
              <w:rPr>
                <w:rFonts w:ascii="Calibri" w:cs="Calibri" w:eastAsia="Calibri" w:hAnsi="Calibri"/>
                <w:b/>
                <w:bCs/>
                <w:color w:val="1E2347"/>
                <w:sz w:val="19"/>
                <w:szCs w:val="19"/>
              </w:rPr>
              <w:t xml:space="preserve">Correctif</w:t>
            </w:r>
          </w:p>
        </w:tc>
        <w:tc>
          <w:tcPr>
            <w:tcW w:type="dxa" w:w="6826"/>
            <w:tcMar>
              <w:top w:type="dxa" w:w="60"/>
              <w:left w:type="dxa" w:w="100"/>
              <w:bottom w:type="dxa" w:w="60"/>
              <w:right w:type="dxa" w:w="100"/>
            </w:tcMar>
          </w:tcPr>
          <w:p>
            <w:pPr>
              <w:spacing w:after="0"/>
            </w:pPr>
            <w:r>
              <w:rPr>
                <w:rFonts w:ascii="Calibri" w:cs="Calibri" w:eastAsia="Calibri" w:hAnsi="Calibri"/>
                <w:color w:val="2E7D46"/>
                <w:sz w:val="19"/>
                <w:szCs w:val="19"/>
              </w:rPr>
              <w:t xml:space="preserve">Archive chiffrée supplémentaire du magasin de fichiers, même clé et même rétention, avec alerte explicite si le répertoire est introuvable.</w:t>
            </w:r>
          </w:p>
        </w:tc>
      </w:tr>
    </w:tbl>
    <w:p>
      <w:pPr>
        <w:spacing w:after="160"/>
      </w:pPr>
      <w:r>
        <w:rPr>
          <w:rFonts w:ascii="Calibri" w:cs="Calibri" w:eastAsia="Calibri" w:hAnsi="Calibri"/>
          <w:color w:val="000000"/>
          <w:sz w:val="21"/>
          <w:szCs w:val="21"/>
        </w:rPr>
        <w:t xml:space="preserve"> </w:t>
      </w:r>
    </w:p>
    <w:p>
      <w:pPr>
        <w:pStyle w:val="Heading2"/>
        <w:spacing w:after="140" w:before="220"/>
      </w:pPr>
      <w:r>
        <w:rPr>
          <w:rFonts w:ascii="Calibri" w:cs="Calibri" w:eastAsia="Calibri" w:hAnsi="Calibri"/>
          <w:b/>
          <w:bCs/>
          <w:color w:val="2E7D46"/>
          <w:sz w:val="24"/>
          <w:szCs w:val="24"/>
        </w:rPr>
        <w:t xml:space="preserve">II.3 Ensemble des écarts identifiés et traités</w:t>
      </w:r>
    </w:p>
    <w:tbl>
      <w:tblPr>
        <w:tblW w:type="dxa" w:w="9026"/>
        <w:tblBorders>
          <w:top w:val="single" w:color="CCC4B8" w:sz="4"/>
          <w:left w:val="single" w:color="CCC4B8" w:sz="4"/>
          <w:bottom w:val="single" w:color="CCC4B8" w:sz="4"/>
          <w:right w:val="single" w:color="CCC4B8" w:sz="4"/>
          <w:insideH w:val="single" w:color="DDD6CB" w:sz="2"/>
          <w:insideV w:val="single" w:color="DDD6CB" w:sz="2"/>
        </w:tblBorders>
      </w:tblPr>
      <w:tblGrid>
        <w:gridCol w:w="900"/>
        <w:gridCol w:w="5126"/>
        <w:gridCol w:w="1400"/>
        <w:gridCol w:w="1600"/>
      </w:tblGrid>
      <w:tr>
        <w:trPr>
          <w:tblHeader/>
        </w:trPr>
        <w:tc>
          <w:tcPr>
            <w:tcW w:type="dxa" w:w="900"/>
            <w:shd w:fill="F2EEE7" w:color="auto" w:val="clear"/>
            <w:tcMar>
              <w:top w:type="dxa" w:w="60"/>
              <w:left w:type="dxa" w:w="100"/>
              <w:bottom w:type="dxa" w:w="60"/>
              <w:right w:type="dxa" w:w="100"/>
            </w:tcMar>
          </w:tcPr>
          <w:p>
            <w:pPr>
              <w:spacing w:after="0"/>
            </w:pPr>
            <w:r>
              <w:rPr>
                <w:rFonts w:ascii="Calibri" w:cs="Calibri" w:eastAsia="Calibri" w:hAnsi="Calibri"/>
                <w:b/>
                <w:bCs/>
                <w:color w:val="1E2347"/>
                <w:sz w:val="19"/>
                <w:szCs w:val="19"/>
              </w:rPr>
              <w:t xml:space="preserve">Réf.</w:t>
            </w:r>
          </w:p>
        </w:tc>
        <w:tc>
          <w:tcPr>
            <w:tcW w:type="dxa" w:w="5126"/>
            <w:shd w:fill="F2EEE7" w:color="auto" w:val="clear"/>
            <w:tcMar>
              <w:top w:type="dxa" w:w="60"/>
              <w:left w:type="dxa" w:w="100"/>
              <w:bottom w:type="dxa" w:w="60"/>
              <w:right w:type="dxa" w:w="100"/>
            </w:tcMar>
          </w:tcPr>
          <w:p>
            <w:pPr>
              <w:spacing w:after="0"/>
            </w:pPr>
            <w:r>
              <w:rPr>
                <w:rFonts w:ascii="Calibri" w:cs="Calibri" w:eastAsia="Calibri" w:hAnsi="Calibri"/>
                <w:b/>
                <w:bCs/>
                <w:color w:val="1E2347"/>
                <w:sz w:val="19"/>
                <w:szCs w:val="19"/>
              </w:rPr>
              <w:t xml:space="preserve">Constat</w:t>
            </w:r>
          </w:p>
        </w:tc>
        <w:tc>
          <w:tcPr>
            <w:tcW w:type="dxa" w:w="1400"/>
            <w:shd w:fill="F2EEE7" w:color="auto" w:val="clear"/>
            <w:tcMar>
              <w:top w:type="dxa" w:w="60"/>
              <w:left w:type="dxa" w:w="100"/>
              <w:bottom w:type="dxa" w:w="60"/>
              <w:right w:type="dxa" w:w="100"/>
            </w:tcMar>
          </w:tcPr>
          <w:p>
            <w:pPr>
              <w:spacing w:after="0"/>
            </w:pPr>
            <w:r>
              <w:rPr>
                <w:rFonts w:ascii="Calibri" w:cs="Calibri" w:eastAsia="Calibri" w:hAnsi="Calibri"/>
                <w:b/>
                <w:bCs/>
                <w:color w:val="1E2347"/>
                <w:sz w:val="19"/>
                <w:szCs w:val="19"/>
              </w:rPr>
              <w:t xml:space="preserve">Gravité</w:t>
            </w:r>
          </w:p>
        </w:tc>
        <w:tc>
          <w:tcPr>
            <w:tcW w:type="dxa" w:w="1600"/>
            <w:shd w:fill="F2EEE7" w:color="auto" w:val="clear"/>
            <w:tcMar>
              <w:top w:type="dxa" w:w="60"/>
              <w:left w:type="dxa" w:w="100"/>
              <w:bottom w:type="dxa" w:w="60"/>
              <w:right w:type="dxa" w:w="100"/>
            </w:tcMar>
          </w:tcPr>
          <w:p>
            <w:pPr>
              <w:spacing w:after="0"/>
            </w:pPr>
            <w:r>
              <w:rPr>
                <w:rFonts w:ascii="Calibri" w:cs="Calibri" w:eastAsia="Calibri" w:hAnsi="Calibri"/>
                <w:b/>
                <w:bCs/>
                <w:color w:val="1E2347"/>
                <w:sz w:val="19"/>
                <w:szCs w:val="19"/>
              </w:rPr>
              <w:t xml:space="preserve">Traitement</w:t>
            </w:r>
          </w:p>
        </w:tc>
      </w:tr>
      <w:tr>
        <w:tc>
          <w:tcPr>
            <w:tcW w:type="dxa" w:w="900"/>
            <w:tcMar>
              <w:top w:type="dxa" w:w="60"/>
              <w:left w:type="dxa" w:w="100"/>
              <w:bottom w:type="dxa" w:w="60"/>
              <w:right w:type="dxa" w:w="100"/>
            </w:tcMar>
          </w:tcPr>
          <w:p>
            <w:pPr>
              <w:spacing w:after="0"/>
            </w:pPr>
            <w:r>
              <w:rPr>
                <w:rFonts w:ascii="Calibri" w:cs="Calibri" w:eastAsia="Calibri" w:hAnsi="Calibri"/>
                <w:b/>
                <w:bCs/>
                <w:color w:val="1E2347"/>
                <w:sz w:val="19"/>
                <w:szCs w:val="19"/>
              </w:rPr>
              <w:t xml:space="preserve">D1</w:t>
            </w:r>
          </w:p>
        </w:tc>
        <w:tc>
          <w:tcPr>
            <w:tcW w:type="dxa" w:w="5126"/>
            <w:tcMar>
              <w:top w:type="dxa" w:w="60"/>
              <w:left w:type="dxa" w:w="100"/>
              <w:bottom w:type="dxa" w:w="60"/>
              <w:right w:type="dxa" w:w="100"/>
            </w:tcMar>
          </w:tcPr>
          <w:p>
            <w:pPr>
              <w:spacing w:after="0"/>
            </w:pPr>
            <w:r>
              <w:rPr>
                <w:rFonts w:ascii="Calibri" w:cs="Calibri" w:eastAsia="Calibri" w:hAnsi="Calibri"/>
                <w:color w:val="000000"/>
                <w:sz w:val="19"/>
                <w:szCs w:val="19"/>
              </w:rPr>
              <w:t xml:space="preserve">Téléconsultation sans interface médecin : aucune séance ne pouvait être ouverte</w:t>
            </w:r>
          </w:p>
        </w:tc>
        <w:tc>
          <w:tcPr>
            <w:tcW w:type="dxa" w:w="1400"/>
            <w:tcMar>
              <w:top w:type="dxa" w:w="60"/>
              <w:left w:type="dxa" w:w="100"/>
              <w:bottom w:type="dxa" w:w="60"/>
              <w:right w:type="dxa" w:w="100"/>
            </w:tcMar>
          </w:tcPr>
          <w:p>
            <w:pPr>
              <w:spacing w:after="0"/>
            </w:pPr>
            <w:r>
              <w:rPr>
                <w:rFonts w:ascii="Calibri" w:cs="Calibri" w:eastAsia="Calibri" w:hAnsi="Calibri"/>
                <w:b/>
                <w:bCs/>
                <w:color w:val="B3261E"/>
                <w:sz w:val="19"/>
                <w:szCs w:val="19"/>
              </w:rPr>
              <w:t xml:space="preserve">Majeur</w:t>
            </w:r>
          </w:p>
        </w:tc>
        <w:tc>
          <w:tcPr>
            <w:tcW w:type="dxa" w:w="1600"/>
            <w:tcMar>
              <w:top w:type="dxa" w:w="60"/>
              <w:left w:type="dxa" w:w="100"/>
              <w:bottom w:type="dxa" w:w="60"/>
              <w:right w:type="dxa" w:w="100"/>
            </w:tcMar>
          </w:tcPr>
          <w:p>
            <w:pPr>
              <w:spacing w:after="0"/>
            </w:pPr>
            <w:r>
              <w:rPr>
                <w:rFonts w:ascii="Calibri" w:cs="Calibri" w:eastAsia="Calibri" w:hAnsi="Calibri"/>
                <w:color w:val="000000"/>
                <w:sz w:val="19"/>
                <w:szCs w:val="19"/>
              </w:rPr>
              <w:t xml:space="preserve">Lot 7</w:t>
            </w:r>
          </w:p>
        </w:tc>
      </w:tr>
      <w:tr>
        <w:tc>
          <w:tcPr>
            <w:tcW w:type="dxa" w:w="900"/>
            <w:tcMar>
              <w:top w:type="dxa" w:w="60"/>
              <w:left w:type="dxa" w:w="100"/>
              <w:bottom w:type="dxa" w:w="60"/>
              <w:right w:type="dxa" w:w="100"/>
            </w:tcMar>
          </w:tcPr>
          <w:p>
            <w:pPr>
              <w:spacing w:after="0"/>
            </w:pPr>
            <w:r>
              <w:rPr>
                <w:rFonts w:ascii="Calibri" w:cs="Calibri" w:eastAsia="Calibri" w:hAnsi="Calibri"/>
                <w:b/>
                <w:bCs/>
                <w:color w:val="1E2347"/>
                <w:sz w:val="19"/>
                <w:szCs w:val="19"/>
              </w:rPr>
              <w:t xml:space="preserve">D2</w:t>
            </w:r>
          </w:p>
        </w:tc>
        <w:tc>
          <w:tcPr>
            <w:tcW w:type="dxa" w:w="5126"/>
            <w:tcMar>
              <w:top w:type="dxa" w:w="60"/>
              <w:left w:type="dxa" w:w="100"/>
              <w:bottom w:type="dxa" w:w="60"/>
              <w:right w:type="dxa" w:w="100"/>
            </w:tcMar>
          </w:tcPr>
          <w:p>
            <w:pPr>
              <w:spacing w:after="0"/>
            </w:pPr>
            <w:r>
              <w:rPr>
                <w:rFonts w:ascii="Calibri" w:cs="Calibri" w:eastAsia="Calibri" w:hAnsi="Calibri"/>
                <w:color w:val="000000"/>
                <w:sz w:val="19"/>
                <w:szCs w:val="19"/>
              </w:rPr>
              <w:t xml:space="preserve">Paiement par portefeuille sans débit du solde</w:t>
            </w:r>
          </w:p>
        </w:tc>
        <w:tc>
          <w:tcPr>
            <w:tcW w:type="dxa" w:w="1400"/>
            <w:tcMar>
              <w:top w:type="dxa" w:w="60"/>
              <w:left w:type="dxa" w:w="100"/>
              <w:bottom w:type="dxa" w:w="60"/>
              <w:right w:type="dxa" w:w="100"/>
            </w:tcMar>
          </w:tcPr>
          <w:p>
            <w:pPr>
              <w:spacing w:after="0"/>
            </w:pPr>
            <w:r>
              <w:rPr>
                <w:rFonts w:ascii="Calibri" w:cs="Calibri" w:eastAsia="Calibri" w:hAnsi="Calibri"/>
                <w:b/>
                <w:bCs/>
                <w:color w:val="B3261E"/>
                <w:sz w:val="19"/>
                <w:szCs w:val="19"/>
              </w:rPr>
              <w:t xml:space="preserve">Majeur</w:t>
            </w:r>
          </w:p>
        </w:tc>
        <w:tc>
          <w:tcPr>
            <w:tcW w:type="dxa" w:w="1600"/>
            <w:tcMar>
              <w:top w:type="dxa" w:w="60"/>
              <w:left w:type="dxa" w:w="100"/>
              <w:bottom w:type="dxa" w:w="60"/>
              <w:right w:type="dxa" w:w="100"/>
            </w:tcMar>
          </w:tcPr>
          <w:p>
            <w:pPr>
              <w:spacing w:after="0"/>
            </w:pPr>
            <w:r>
              <w:rPr>
                <w:rFonts w:ascii="Calibri" w:cs="Calibri" w:eastAsia="Calibri" w:hAnsi="Calibri"/>
                <w:color w:val="000000"/>
                <w:sz w:val="19"/>
                <w:szCs w:val="19"/>
              </w:rPr>
              <w:t xml:space="preserve">Lots 8 et #136</w:t>
            </w:r>
          </w:p>
        </w:tc>
      </w:tr>
      <w:tr>
        <w:tc>
          <w:tcPr>
            <w:tcW w:type="dxa" w:w="900"/>
            <w:tcMar>
              <w:top w:type="dxa" w:w="60"/>
              <w:left w:type="dxa" w:w="100"/>
              <w:bottom w:type="dxa" w:w="60"/>
              <w:right w:type="dxa" w:w="100"/>
            </w:tcMar>
          </w:tcPr>
          <w:p>
            <w:pPr>
              <w:spacing w:after="0"/>
            </w:pPr>
            <w:r>
              <w:rPr>
                <w:rFonts w:ascii="Calibri" w:cs="Calibri" w:eastAsia="Calibri" w:hAnsi="Calibri"/>
                <w:b/>
                <w:bCs/>
                <w:color w:val="1E2347"/>
                <w:sz w:val="19"/>
                <w:szCs w:val="19"/>
              </w:rPr>
              <w:t xml:space="preserve">D3</w:t>
            </w:r>
          </w:p>
        </w:tc>
        <w:tc>
          <w:tcPr>
            <w:tcW w:type="dxa" w:w="5126"/>
            <w:tcMar>
              <w:top w:type="dxa" w:w="60"/>
              <w:left w:type="dxa" w:w="100"/>
              <w:bottom w:type="dxa" w:w="60"/>
              <w:right w:type="dxa" w:w="100"/>
            </w:tcMar>
          </w:tcPr>
          <w:p>
            <w:pPr>
              <w:spacing w:after="0"/>
            </w:pPr>
            <w:r>
              <w:rPr>
                <w:rFonts w:ascii="Calibri" w:cs="Calibri" w:eastAsia="Calibri" w:hAnsi="Calibri"/>
                <w:color w:val="000000"/>
                <w:sz w:val="19"/>
                <w:szCs w:val="19"/>
              </w:rPr>
              <w:t xml:space="preserve">Chaîne éditoriale bloquée : aucun contenu de prévention publiable</w:t>
            </w:r>
          </w:p>
        </w:tc>
        <w:tc>
          <w:tcPr>
            <w:tcW w:type="dxa" w:w="1400"/>
            <w:tcMar>
              <w:top w:type="dxa" w:w="60"/>
              <w:left w:type="dxa" w:w="100"/>
              <w:bottom w:type="dxa" w:w="60"/>
              <w:right w:type="dxa" w:w="100"/>
            </w:tcMar>
          </w:tcPr>
          <w:p>
            <w:pPr>
              <w:spacing w:after="0"/>
            </w:pPr>
            <w:r>
              <w:rPr>
                <w:rFonts w:ascii="Calibri" w:cs="Calibri" w:eastAsia="Calibri" w:hAnsi="Calibri"/>
                <w:b/>
                <w:bCs/>
                <w:color w:val="B3261E"/>
                <w:sz w:val="19"/>
                <w:szCs w:val="19"/>
              </w:rPr>
              <w:t xml:space="preserve">Majeur</w:t>
            </w:r>
          </w:p>
        </w:tc>
        <w:tc>
          <w:tcPr>
            <w:tcW w:type="dxa" w:w="1600"/>
            <w:tcMar>
              <w:top w:type="dxa" w:w="60"/>
              <w:left w:type="dxa" w:w="100"/>
              <w:bottom w:type="dxa" w:w="60"/>
              <w:right w:type="dxa" w:w="100"/>
            </w:tcMar>
          </w:tcPr>
          <w:p>
            <w:pPr>
              <w:spacing w:after="0"/>
            </w:pPr>
            <w:r>
              <w:rPr>
                <w:rFonts w:ascii="Calibri" w:cs="Calibri" w:eastAsia="Calibri" w:hAnsi="Calibri"/>
                <w:color w:val="000000"/>
                <w:sz w:val="19"/>
                <w:szCs w:val="19"/>
              </w:rPr>
              <w:t xml:space="preserve">Lot 9</w:t>
            </w:r>
          </w:p>
        </w:tc>
      </w:tr>
      <w:tr>
        <w:tc>
          <w:tcPr>
            <w:tcW w:type="dxa" w:w="900"/>
            <w:tcMar>
              <w:top w:type="dxa" w:w="60"/>
              <w:left w:type="dxa" w:w="100"/>
              <w:bottom w:type="dxa" w:w="60"/>
              <w:right w:type="dxa" w:w="100"/>
            </w:tcMar>
          </w:tcPr>
          <w:p>
            <w:pPr>
              <w:spacing w:after="0"/>
            </w:pPr>
            <w:r>
              <w:rPr>
                <w:rFonts w:ascii="Calibri" w:cs="Calibri" w:eastAsia="Calibri" w:hAnsi="Calibri"/>
                <w:b/>
                <w:bCs/>
                <w:color w:val="1E2347"/>
                <w:sz w:val="19"/>
                <w:szCs w:val="19"/>
              </w:rPr>
              <w:t xml:space="preserve">D4</w:t>
            </w:r>
          </w:p>
        </w:tc>
        <w:tc>
          <w:tcPr>
            <w:tcW w:type="dxa" w:w="5126"/>
            <w:tcMar>
              <w:top w:type="dxa" w:w="60"/>
              <w:left w:type="dxa" w:w="100"/>
              <w:bottom w:type="dxa" w:w="60"/>
              <w:right w:type="dxa" w:w="100"/>
            </w:tcMar>
          </w:tcPr>
          <w:p>
            <w:pPr>
              <w:spacing w:after="0"/>
            </w:pPr>
            <w:r>
              <w:rPr>
                <w:rFonts w:ascii="Calibri" w:cs="Calibri" w:eastAsia="Calibri" w:hAnsi="Calibri"/>
                <w:color w:val="000000"/>
                <w:sz w:val="19"/>
                <w:szCs w:val="19"/>
              </w:rPr>
              <w:t xml:space="preserve">Tarif de consultation non modifiable par le médecin</w:t>
            </w:r>
          </w:p>
        </w:tc>
        <w:tc>
          <w:tcPr>
            <w:tcW w:type="dxa" w:w="1400"/>
            <w:tcMar>
              <w:top w:type="dxa" w:w="60"/>
              <w:left w:type="dxa" w:w="100"/>
              <w:bottom w:type="dxa" w:w="60"/>
              <w:right w:type="dxa" w:w="100"/>
            </w:tcMar>
          </w:tcPr>
          <w:p>
            <w:pPr>
              <w:spacing w:after="0"/>
            </w:pPr>
            <w:r>
              <w:rPr>
                <w:rFonts w:ascii="Calibri" w:cs="Calibri" w:eastAsia="Calibri" w:hAnsi="Calibri"/>
                <w:b/>
                <w:bCs/>
                <w:color w:val="B07D1E"/>
                <w:sz w:val="19"/>
                <w:szCs w:val="19"/>
              </w:rPr>
              <w:t xml:space="preserve">Moyen</w:t>
            </w:r>
          </w:p>
        </w:tc>
        <w:tc>
          <w:tcPr>
            <w:tcW w:type="dxa" w:w="1600"/>
            <w:tcMar>
              <w:top w:type="dxa" w:w="60"/>
              <w:left w:type="dxa" w:w="100"/>
              <w:bottom w:type="dxa" w:w="60"/>
              <w:right w:type="dxa" w:w="100"/>
            </w:tcMar>
          </w:tcPr>
          <w:p>
            <w:pPr>
              <w:spacing w:after="0"/>
            </w:pPr>
            <w:r>
              <w:rPr>
                <w:rFonts w:ascii="Calibri" w:cs="Calibri" w:eastAsia="Calibri" w:hAnsi="Calibri"/>
                <w:color w:val="000000"/>
                <w:sz w:val="19"/>
                <w:szCs w:val="19"/>
              </w:rPr>
              <w:t xml:space="preserve">Lot 10</w:t>
            </w:r>
          </w:p>
        </w:tc>
      </w:tr>
      <w:tr>
        <w:tc>
          <w:tcPr>
            <w:tcW w:type="dxa" w:w="900"/>
            <w:tcMar>
              <w:top w:type="dxa" w:w="60"/>
              <w:left w:type="dxa" w:w="100"/>
              <w:bottom w:type="dxa" w:w="60"/>
              <w:right w:type="dxa" w:w="100"/>
            </w:tcMar>
          </w:tcPr>
          <w:p>
            <w:pPr>
              <w:spacing w:after="0"/>
            </w:pPr>
            <w:r>
              <w:rPr>
                <w:rFonts w:ascii="Calibri" w:cs="Calibri" w:eastAsia="Calibri" w:hAnsi="Calibri"/>
                <w:b/>
                <w:bCs/>
                <w:color w:val="1E2347"/>
                <w:sz w:val="19"/>
                <w:szCs w:val="19"/>
              </w:rPr>
              <w:t xml:space="preserve">D5</w:t>
            </w:r>
          </w:p>
        </w:tc>
        <w:tc>
          <w:tcPr>
            <w:tcW w:type="dxa" w:w="5126"/>
            <w:tcMar>
              <w:top w:type="dxa" w:w="60"/>
              <w:left w:type="dxa" w:w="100"/>
              <w:bottom w:type="dxa" w:w="60"/>
              <w:right w:type="dxa" w:w="100"/>
            </w:tcMar>
          </w:tcPr>
          <w:p>
            <w:pPr>
              <w:spacing w:after="0"/>
            </w:pPr>
            <w:r>
              <w:rPr>
                <w:rFonts w:ascii="Calibri" w:cs="Calibri" w:eastAsia="Calibri" w:hAnsi="Calibri"/>
                <w:color w:val="000000"/>
                <w:sz w:val="19"/>
                <w:szCs w:val="19"/>
              </w:rPr>
              <w:t xml:space="preserve">Tri des demandes de rendez-vous sans interface</w:t>
            </w:r>
          </w:p>
        </w:tc>
        <w:tc>
          <w:tcPr>
            <w:tcW w:type="dxa" w:w="1400"/>
            <w:tcMar>
              <w:top w:type="dxa" w:w="60"/>
              <w:left w:type="dxa" w:w="100"/>
              <w:bottom w:type="dxa" w:w="60"/>
              <w:right w:type="dxa" w:w="100"/>
            </w:tcMar>
          </w:tcPr>
          <w:p>
            <w:pPr>
              <w:spacing w:after="0"/>
            </w:pPr>
            <w:r>
              <w:rPr>
                <w:rFonts w:ascii="Calibri" w:cs="Calibri" w:eastAsia="Calibri" w:hAnsi="Calibri"/>
                <w:b/>
                <w:bCs/>
                <w:color w:val="B07D1E"/>
                <w:sz w:val="19"/>
                <w:szCs w:val="19"/>
              </w:rPr>
              <w:t xml:space="preserve">Moyen</w:t>
            </w:r>
          </w:p>
        </w:tc>
        <w:tc>
          <w:tcPr>
            <w:tcW w:type="dxa" w:w="1600"/>
            <w:tcMar>
              <w:top w:type="dxa" w:w="60"/>
              <w:left w:type="dxa" w:w="100"/>
              <w:bottom w:type="dxa" w:w="60"/>
              <w:right w:type="dxa" w:w="100"/>
            </w:tcMar>
          </w:tcPr>
          <w:p>
            <w:pPr>
              <w:spacing w:after="0"/>
            </w:pPr>
            <w:r>
              <w:rPr>
                <w:rFonts w:ascii="Calibri" w:cs="Calibri" w:eastAsia="Calibri" w:hAnsi="Calibri"/>
                <w:color w:val="000000"/>
                <w:sz w:val="19"/>
                <w:szCs w:val="19"/>
              </w:rPr>
              <w:t xml:space="preserve">Lot 10</w:t>
            </w:r>
          </w:p>
        </w:tc>
      </w:tr>
      <w:tr>
        <w:tc>
          <w:tcPr>
            <w:tcW w:type="dxa" w:w="900"/>
            <w:tcMar>
              <w:top w:type="dxa" w:w="60"/>
              <w:left w:type="dxa" w:w="100"/>
              <w:bottom w:type="dxa" w:w="60"/>
              <w:right w:type="dxa" w:w="100"/>
            </w:tcMar>
          </w:tcPr>
          <w:p>
            <w:pPr>
              <w:spacing w:after="0"/>
            </w:pPr>
            <w:r>
              <w:rPr>
                <w:rFonts w:ascii="Calibri" w:cs="Calibri" w:eastAsia="Calibri" w:hAnsi="Calibri"/>
                <w:b/>
                <w:bCs/>
                <w:color w:val="1E2347"/>
                <w:sz w:val="19"/>
                <w:szCs w:val="19"/>
              </w:rPr>
              <w:t xml:space="preserve">D6</w:t>
            </w:r>
          </w:p>
        </w:tc>
        <w:tc>
          <w:tcPr>
            <w:tcW w:type="dxa" w:w="5126"/>
            <w:tcMar>
              <w:top w:type="dxa" w:w="60"/>
              <w:left w:type="dxa" w:w="100"/>
              <w:bottom w:type="dxa" w:w="60"/>
              <w:right w:type="dxa" w:w="100"/>
            </w:tcMar>
          </w:tcPr>
          <w:p>
            <w:pPr>
              <w:spacing w:after="0"/>
            </w:pPr>
            <w:r>
              <w:rPr>
                <w:rFonts w:ascii="Calibri" w:cs="Calibri" w:eastAsia="Calibri" w:hAnsi="Calibri"/>
                <w:color w:val="000000"/>
                <w:sz w:val="19"/>
                <w:szCs w:val="19"/>
              </w:rPr>
              <w:t xml:space="preserve">Alerte d’urgence sans clôture possible</w:t>
            </w:r>
          </w:p>
        </w:tc>
        <w:tc>
          <w:tcPr>
            <w:tcW w:type="dxa" w:w="1400"/>
            <w:tcMar>
              <w:top w:type="dxa" w:w="60"/>
              <w:left w:type="dxa" w:w="100"/>
              <w:bottom w:type="dxa" w:w="60"/>
              <w:right w:type="dxa" w:w="100"/>
            </w:tcMar>
          </w:tcPr>
          <w:p>
            <w:pPr>
              <w:spacing w:after="0"/>
            </w:pPr>
            <w:r>
              <w:rPr>
                <w:rFonts w:ascii="Calibri" w:cs="Calibri" w:eastAsia="Calibri" w:hAnsi="Calibri"/>
                <w:b/>
                <w:bCs/>
                <w:color w:val="B07D1E"/>
                <w:sz w:val="19"/>
                <w:szCs w:val="19"/>
              </w:rPr>
              <w:t xml:space="preserve">Moyen</w:t>
            </w:r>
          </w:p>
        </w:tc>
        <w:tc>
          <w:tcPr>
            <w:tcW w:type="dxa" w:w="1600"/>
            <w:tcMar>
              <w:top w:type="dxa" w:w="60"/>
              <w:left w:type="dxa" w:w="100"/>
              <w:bottom w:type="dxa" w:w="60"/>
              <w:right w:type="dxa" w:w="100"/>
            </w:tcMar>
          </w:tcPr>
          <w:p>
            <w:pPr>
              <w:spacing w:after="0"/>
            </w:pPr>
            <w:r>
              <w:rPr>
                <w:rFonts w:ascii="Calibri" w:cs="Calibri" w:eastAsia="Calibri" w:hAnsi="Calibri"/>
                <w:color w:val="000000"/>
                <w:sz w:val="19"/>
                <w:szCs w:val="19"/>
              </w:rPr>
              <w:t xml:space="preserve">Lot 10</w:t>
            </w:r>
          </w:p>
        </w:tc>
      </w:tr>
      <w:tr>
        <w:tc>
          <w:tcPr>
            <w:tcW w:type="dxa" w:w="900"/>
            <w:tcMar>
              <w:top w:type="dxa" w:w="60"/>
              <w:left w:type="dxa" w:w="100"/>
              <w:bottom w:type="dxa" w:w="60"/>
              <w:right w:type="dxa" w:w="100"/>
            </w:tcMar>
          </w:tcPr>
          <w:p>
            <w:pPr>
              <w:spacing w:after="0"/>
            </w:pPr>
            <w:r>
              <w:rPr>
                <w:rFonts w:ascii="Calibri" w:cs="Calibri" w:eastAsia="Calibri" w:hAnsi="Calibri"/>
                <w:b/>
                <w:bCs/>
                <w:color w:val="1E2347"/>
                <w:sz w:val="19"/>
                <w:szCs w:val="19"/>
              </w:rPr>
              <w:t xml:space="preserve">D7</w:t>
            </w:r>
          </w:p>
        </w:tc>
        <w:tc>
          <w:tcPr>
            <w:tcW w:type="dxa" w:w="5126"/>
            <w:tcMar>
              <w:top w:type="dxa" w:w="60"/>
              <w:left w:type="dxa" w:w="100"/>
              <w:bottom w:type="dxa" w:w="60"/>
              <w:right w:type="dxa" w:w="100"/>
            </w:tcMar>
          </w:tcPr>
          <w:p>
            <w:pPr>
              <w:spacing w:after="0"/>
            </w:pPr>
            <w:r>
              <w:rPr>
                <w:rFonts w:ascii="Calibri" w:cs="Calibri" w:eastAsia="Calibri" w:hAnsi="Calibri"/>
                <w:color w:val="000000"/>
                <w:sz w:val="19"/>
                <w:szCs w:val="19"/>
              </w:rPr>
              <w:t xml:space="preserve">Module sans consommateur ni persistance</w:t>
            </w:r>
          </w:p>
        </w:tc>
        <w:tc>
          <w:tcPr>
            <w:tcW w:type="dxa" w:w="1400"/>
            <w:tcMar>
              <w:top w:type="dxa" w:w="60"/>
              <w:left w:type="dxa" w:w="100"/>
              <w:bottom w:type="dxa" w:w="60"/>
              <w:right w:type="dxa" w:w="100"/>
            </w:tcMar>
          </w:tcPr>
          <w:p>
            <w:pPr>
              <w:spacing w:after="0"/>
            </w:pPr>
            <w:r>
              <w:rPr>
                <w:rFonts w:ascii="Calibri" w:cs="Calibri" w:eastAsia="Calibri" w:hAnsi="Calibri"/>
                <w:b/>
                <w:bCs/>
                <w:color w:val="6B6155"/>
                <w:sz w:val="19"/>
                <w:szCs w:val="19"/>
              </w:rPr>
              <w:t xml:space="preserve">Faible</w:t>
            </w:r>
          </w:p>
        </w:tc>
        <w:tc>
          <w:tcPr>
            <w:tcW w:type="dxa" w:w="1600"/>
            <w:tcMar>
              <w:top w:type="dxa" w:w="60"/>
              <w:left w:type="dxa" w:w="100"/>
              <w:bottom w:type="dxa" w:w="60"/>
              <w:right w:type="dxa" w:w="100"/>
            </w:tcMar>
          </w:tcPr>
          <w:p>
            <w:pPr>
              <w:spacing w:after="0"/>
            </w:pPr>
            <w:r>
              <w:rPr>
                <w:rFonts w:ascii="Calibri" w:cs="Calibri" w:eastAsia="Calibri" w:hAnsi="Calibri"/>
                <w:color w:val="000000"/>
                <w:sz w:val="19"/>
                <w:szCs w:val="19"/>
              </w:rPr>
              <w:t xml:space="preserve">Lot 11</w:t>
            </w:r>
          </w:p>
        </w:tc>
      </w:tr>
      <w:tr>
        <w:tc>
          <w:tcPr>
            <w:tcW w:type="dxa" w:w="900"/>
            <w:tcMar>
              <w:top w:type="dxa" w:w="60"/>
              <w:left w:type="dxa" w:w="100"/>
              <w:bottom w:type="dxa" w:w="60"/>
              <w:right w:type="dxa" w:w="100"/>
            </w:tcMar>
          </w:tcPr>
          <w:p>
            <w:pPr>
              <w:spacing w:after="0"/>
            </w:pPr>
            <w:r>
              <w:rPr>
                <w:rFonts w:ascii="Calibri" w:cs="Calibri" w:eastAsia="Calibri" w:hAnsi="Calibri"/>
                <w:b/>
                <w:bCs/>
                <w:color w:val="1E2347"/>
                <w:sz w:val="19"/>
                <w:szCs w:val="19"/>
              </w:rPr>
              <w:t xml:space="preserve">D8</w:t>
            </w:r>
          </w:p>
        </w:tc>
        <w:tc>
          <w:tcPr>
            <w:tcW w:type="dxa" w:w="5126"/>
            <w:tcMar>
              <w:top w:type="dxa" w:w="60"/>
              <w:left w:type="dxa" w:w="100"/>
              <w:bottom w:type="dxa" w:w="60"/>
              <w:right w:type="dxa" w:w="100"/>
            </w:tcMar>
          </w:tcPr>
          <w:p>
            <w:pPr>
              <w:spacing w:after="0"/>
            </w:pPr>
            <w:r>
              <w:rPr>
                <w:rFonts w:ascii="Calibri" w:cs="Calibri" w:eastAsia="Calibri" w:hAnsi="Calibri"/>
                <w:color w:val="000000"/>
                <w:sz w:val="19"/>
                <w:szCs w:val="19"/>
              </w:rPr>
              <w:t xml:space="preserve">Modèle de configuration périmé empêchant le démarrage sur poste neuf</w:t>
            </w:r>
          </w:p>
        </w:tc>
        <w:tc>
          <w:tcPr>
            <w:tcW w:type="dxa" w:w="1400"/>
            <w:tcMar>
              <w:top w:type="dxa" w:w="60"/>
              <w:left w:type="dxa" w:w="100"/>
              <w:bottom w:type="dxa" w:w="60"/>
              <w:right w:type="dxa" w:w="100"/>
            </w:tcMar>
          </w:tcPr>
          <w:p>
            <w:pPr>
              <w:spacing w:after="0"/>
            </w:pPr>
            <w:r>
              <w:rPr>
                <w:rFonts w:ascii="Calibri" w:cs="Calibri" w:eastAsia="Calibri" w:hAnsi="Calibri"/>
                <w:b/>
                <w:bCs/>
                <w:color w:val="6B6155"/>
                <w:sz w:val="19"/>
                <w:szCs w:val="19"/>
              </w:rPr>
              <w:t xml:space="preserve">Faible</w:t>
            </w:r>
          </w:p>
        </w:tc>
        <w:tc>
          <w:tcPr>
            <w:tcW w:type="dxa" w:w="1600"/>
            <w:tcMar>
              <w:top w:type="dxa" w:w="60"/>
              <w:left w:type="dxa" w:w="100"/>
              <w:bottom w:type="dxa" w:w="60"/>
              <w:right w:type="dxa" w:w="100"/>
            </w:tcMar>
          </w:tcPr>
          <w:p>
            <w:pPr>
              <w:spacing w:after="0"/>
            </w:pPr>
            <w:r>
              <w:rPr>
                <w:rFonts w:ascii="Calibri" w:cs="Calibri" w:eastAsia="Calibri" w:hAnsi="Calibri"/>
                <w:color w:val="000000"/>
                <w:sz w:val="19"/>
                <w:szCs w:val="19"/>
              </w:rPr>
              <w:t xml:space="preserve">Lot 5</w:t>
            </w:r>
          </w:p>
        </w:tc>
      </w:tr>
      <w:tr>
        <w:tc>
          <w:tcPr>
            <w:tcW w:type="dxa" w:w="900"/>
            <w:tcMar>
              <w:top w:type="dxa" w:w="60"/>
              <w:left w:type="dxa" w:w="100"/>
              <w:bottom w:type="dxa" w:w="60"/>
              <w:right w:type="dxa" w:w="100"/>
            </w:tcMar>
          </w:tcPr>
          <w:p>
            <w:pPr>
              <w:spacing w:after="0"/>
            </w:pPr>
            <w:r>
              <w:rPr>
                <w:rFonts w:ascii="Calibri" w:cs="Calibri" w:eastAsia="Calibri" w:hAnsi="Calibri"/>
                <w:b/>
                <w:bCs/>
                <w:color w:val="1E2347"/>
                <w:sz w:val="19"/>
                <w:szCs w:val="19"/>
              </w:rPr>
              <w:t xml:space="preserve">D9</w:t>
            </w:r>
          </w:p>
        </w:tc>
        <w:tc>
          <w:tcPr>
            <w:tcW w:type="dxa" w:w="5126"/>
            <w:tcMar>
              <w:top w:type="dxa" w:w="60"/>
              <w:left w:type="dxa" w:w="100"/>
              <w:bottom w:type="dxa" w:w="60"/>
              <w:right w:type="dxa" w:w="100"/>
            </w:tcMar>
          </w:tcPr>
          <w:p>
            <w:pPr>
              <w:spacing w:after="0"/>
            </w:pPr>
            <w:r>
              <w:rPr>
                <w:rFonts w:ascii="Calibri" w:cs="Calibri" w:eastAsia="Calibri" w:hAnsi="Calibri"/>
                <w:color w:val="000000"/>
                <w:sz w:val="19"/>
                <w:szCs w:val="19"/>
              </w:rPr>
              <w:t xml:space="preserve">Indicateurs de documentation désynchronisés</w:t>
            </w:r>
          </w:p>
        </w:tc>
        <w:tc>
          <w:tcPr>
            <w:tcW w:type="dxa" w:w="1400"/>
            <w:tcMar>
              <w:top w:type="dxa" w:w="60"/>
              <w:left w:type="dxa" w:w="100"/>
              <w:bottom w:type="dxa" w:w="60"/>
              <w:right w:type="dxa" w:w="100"/>
            </w:tcMar>
          </w:tcPr>
          <w:p>
            <w:pPr>
              <w:spacing w:after="0"/>
            </w:pPr>
            <w:r>
              <w:rPr>
                <w:rFonts w:ascii="Calibri" w:cs="Calibri" w:eastAsia="Calibri" w:hAnsi="Calibri"/>
                <w:b/>
                <w:bCs/>
                <w:color w:val="6B6155"/>
                <w:sz w:val="19"/>
                <w:szCs w:val="19"/>
              </w:rPr>
              <w:t xml:space="preserve">Faible</w:t>
            </w:r>
          </w:p>
        </w:tc>
        <w:tc>
          <w:tcPr>
            <w:tcW w:type="dxa" w:w="1600"/>
            <w:tcMar>
              <w:top w:type="dxa" w:w="60"/>
              <w:left w:type="dxa" w:w="100"/>
              <w:bottom w:type="dxa" w:w="60"/>
              <w:right w:type="dxa" w:w="100"/>
            </w:tcMar>
          </w:tcPr>
          <w:p>
            <w:pPr>
              <w:spacing w:after="0"/>
            </w:pPr>
            <w:r>
              <w:rPr>
                <w:rFonts w:ascii="Calibri" w:cs="Calibri" w:eastAsia="Calibri" w:hAnsi="Calibri"/>
                <w:color w:val="000000"/>
                <w:sz w:val="19"/>
                <w:szCs w:val="19"/>
              </w:rPr>
              <w:t xml:space="preserve">Lot 5</w:t>
            </w:r>
          </w:p>
        </w:tc>
      </w:tr>
      <w:tr>
        <w:tc>
          <w:tcPr>
            <w:tcW w:type="dxa" w:w="900"/>
            <w:tcMar>
              <w:top w:type="dxa" w:w="60"/>
              <w:left w:type="dxa" w:w="100"/>
              <w:bottom w:type="dxa" w:w="60"/>
              <w:right w:type="dxa" w:w="100"/>
            </w:tcMar>
          </w:tcPr>
          <w:p>
            <w:pPr>
              <w:spacing w:after="0"/>
            </w:pPr>
            <w:r>
              <w:rPr>
                <w:rFonts w:ascii="Calibri" w:cs="Calibri" w:eastAsia="Calibri" w:hAnsi="Calibri"/>
                <w:b/>
                <w:bCs/>
                <w:color w:val="1E2347"/>
                <w:sz w:val="19"/>
                <w:szCs w:val="19"/>
              </w:rPr>
              <w:t xml:space="preserve">D10</w:t>
            </w:r>
          </w:p>
        </w:tc>
        <w:tc>
          <w:tcPr>
            <w:tcW w:type="dxa" w:w="5126"/>
            <w:tcMar>
              <w:top w:type="dxa" w:w="60"/>
              <w:left w:type="dxa" w:w="100"/>
              <w:bottom w:type="dxa" w:w="60"/>
              <w:right w:type="dxa" w:w="100"/>
            </w:tcMar>
          </w:tcPr>
          <w:p>
            <w:pPr>
              <w:spacing w:after="0"/>
            </w:pPr>
            <w:r>
              <w:rPr>
                <w:rFonts w:ascii="Calibri" w:cs="Calibri" w:eastAsia="Calibri" w:hAnsi="Calibri"/>
                <w:color w:val="000000"/>
                <w:sz w:val="19"/>
                <w:szCs w:val="19"/>
              </w:rPr>
              <w:t xml:space="preserve">Six libellés d’urgence non traduits en fɔ̀ngbè et yorùbá</w:t>
            </w:r>
          </w:p>
        </w:tc>
        <w:tc>
          <w:tcPr>
            <w:tcW w:type="dxa" w:w="1400"/>
            <w:tcMar>
              <w:top w:type="dxa" w:w="60"/>
              <w:left w:type="dxa" w:w="100"/>
              <w:bottom w:type="dxa" w:w="60"/>
              <w:right w:type="dxa" w:w="100"/>
            </w:tcMar>
          </w:tcPr>
          <w:p>
            <w:pPr>
              <w:spacing w:after="0"/>
            </w:pPr>
            <w:r>
              <w:rPr>
                <w:rFonts w:ascii="Calibri" w:cs="Calibri" w:eastAsia="Calibri" w:hAnsi="Calibri"/>
                <w:b/>
                <w:bCs/>
                <w:color w:val="B07D1E"/>
                <w:sz w:val="19"/>
                <w:szCs w:val="19"/>
              </w:rPr>
              <w:t xml:space="preserve">Moyen</w:t>
            </w:r>
          </w:p>
        </w:tc>
        <w:tc>
          <w:tcPr>
            <w:tcW w:type="dxa" w:w="1600"/>
            <w:tcMar>
              <w:top w:type="dxa" w:w="60"/>
              <w:left w:type="dxa" w:w="100"/>
              <w:bottom w:type="dxa" w:w="60"/>
              <w:right w:type="dxa" w:w="100"/>
            </w:tcMar>
          </w:tcPr>
          <w:p>
            <w:pPr>
              <w:spacing w:after="0"/>
            </w:pPr>
            <w:r>
              <w:rPr>
                <w:rFonts w:ascii="Calibri" w:cs="Calibri" w:eastAsia="Calibri" w:hAnsi="Calibri"/>
                <w:color w:val="000000"/>
                <w:sz w:val="19"/>
                <w:szCs w:val="19"/>
              </w:rPr>
              <w:t xml:space="preserve">Repli accepté</w:t>
            </w:r>
          </w:p>
        </w:tc>
      </w:tr>
      <w:tr>
        <w:tc>
          <w:tcPr>
            <w:tcW w:type="dxa" w:w="900"/>
            <w:tcMar>
              <w:top w:type="dxa" w:w="60"/>
              <w:left w:type="dxa" w:w="100"/>
              <w:bottom w:type="dxa" w:w="60"/>
              <w:right w:type="dxa" w:w="100"/>
            </w:tcMar>
          </w:tcPr>
          <w:p>
            <w:pPr>
              <w:spacing w:after="0"/>
            </w:pPr>
            <w:r>
              <w:rPr>
                <w:rFonts w:ascii="Calibri" w:cs="Calibri" w:eastAsia="Calibri" w:hAnsi="Calibri"/>
                <w:b/>
                <w:bCs/>
                <w:color w:val="1E2347"/>
                <w:sz w:val="19"/>
                <w:szCs w:val="19"/>
              </w:rPr>
              <w:t xml:space="preserve">C5</w:t>
            </w:r>
          </w:p>
        </w:tc>
        <w:tc>
          <w:tcPr>
            <w:tcW w:type="dxa" w:w="5126"/>
            <w:tcMar>
              <w:top w:type="dxa" w:w="60"/>
              <w:left w:type="dxa" w:w="100"/>
              <w:bottom w:type="dxa" w:w="60"/>
              <w:right w:type="dxa" w:w="100"/>
            </w:tcMar>
          </w:tcPr>
          <w:p>
            <w:pPr>
              <w:spacing w:after="0"/>
            </w:pPr>
            <w:r>
              <w:rPr>
                <w:rFonts w:ascii="Calibri" w:cs="Calibri" w:eastAsia="Calibri" w:hAnsi="Calibri"/>
                <w:color w:val="000000"/>
                <w:sz w:val="19"/>
                <w:szCs w:val="19"/>
              </w:rPr>
              <w:t xml:space="preserve">Second journal d’audit sans chaînage cryptographique</w:t>
            </w:r>
          </w:p>
        </w:tc>
        <w:tc>
          <w:tcPr>
            <w:tcW w:type="dxa" w:w="1400"/>
            <w:tcMar>
              <w:top w:type="dxa" w:w="60"/>
              <w:left w:type="dxa" w:w="100"/>
              <w:bottom w:type="dxa" w:w="60"/>
              <w:right w:type="dxa" w:w="100"/>
            </w:tcMar>
          </w:tcPr>
          <w:p>
            <w:pPr>
              <w:spacing w:after="0"/>
            </w:pPr>
            <w:r>
              <w:rPr>
                <w:rFonts w:ascii="Calibri" w:cs="Calibri" w:eastAsia="Calibri" w:hAnsi="Calibri"/>
                <w:b/>
                <w:bCs/>
                <w:color w:val="6B6155"/>
                <w:sz w:val="19"/>
                <w:szCs w:val="19"/>
              </w:rPr>
              <w:t xml:space="preserve">Faible</w:t>
            </w:r>
          </w:p>
        </w:tc>
        <w:tc>
          <w:tcPr>
            <w:tcW w:type="dxa" w:w="1600"/>
            <w:tcMar>
              <w:top w:type="dxa" w:w="60"/>
              <w:left w:type="dxa" w:w="100"/>
              <w:bottom w:type="dxa" w:w="60"/>
              <w:right w:type="dxa" w:w="100"/>
            </w:tcMar>
          </w:tcPr>
          <w:p>
            <w:pPr>
              <w:spacing w:after="0"/>
            </w:pPr>
            <w:r>
              <w:rPr>
                <w:rFonts w:ascii="Calibri" w:cs="Calibri" w:eastAsia="Calibri" w:hAnsi="Calibri"/>
                <w:color w:val="000000"/>
                <w:sz w:val="19"/>
                <w:szCs w:val="19"/>
              </w:rPr>
              <w:t xml:space="preserve">Lot 5</w:t>
            </w:r>
          </w:p>
        </w:tc>
      </w:tr>
    </w:tbl>
    <w:p>
      <w:pPr>
        <w:spacing w:after="160"/>
      </w:pPr>
      <w:r>
        <w:rPr>
          <w:rFonts w:ascii="Calibri" w:cs="Calibri" w:eastAsia="Calibri" w:hAnsi="Calibri"/>
          <w:color w:val="000000"/>
          <w:sz w:val="21"/>
          <w:szCs w:val="21"/>
        </w:rPr>
        <w:t xml:space="preserve"> </w:t>
      </w:r>
    </w:p>
    <w:p>
      <w:pPr>
        <w:pStyle w:val="Heading2"/>
        <w:spacing w:after="140" w:before="220"/>
      </w:pPr>
      <w:r>
        <w:rPr>
          <w:rFonts w:ascii="Calibri" w:cs="Calibri" w:eastAsia="Calibri" w:hAnsi="Calibri"/>
          <w:b/>
          <w:bCs/>
          <w:color w:val="2E7D46"/>
          <w:sz w:val="24"/>
          <w:szCs w:val="24"/>
        </w:rPr>
        <w:t xml:space="preserve">II.4 Validation des contenus cliniques</w:t>
      </w:r>
    </w:p>
    <w:p>
      <w:pPr>
        <w:spacing w:after="120"/>
      </w:pPr>
      <w:r>
        <w:rPr>
          <w:rFonts w:ascii="Calibri" w:cs="Calibri" w:eastAsia="Calibri" w:hAnsi="Calibri"/>
          <w:color w:val="000000"/>
          <w:sz w:val="21"/>
          <w:szCs w:val="21"/>
        </w:rPr>
        <w:t xml:space="preserve">Les contenus à portée clinique embarqués dans l’application — arbre d’orientation fondé sur les signes de danger de l’Organisation mondiale de la santé, calendrier vaccinal, calendrier de consultations prénatales, phrasier médical, format de matricule professionnel — ont été retenus en l’état par décision du porteur du projet du 19 août 2026, afin de lever le blocage de mise en service.</w:t>
      </w:r>
    </w:p>
    <w:p>
      <w:pPr>
        <w:spacing w:after="120"/>
      </w:pPr>
      <w:r>
        <w:rPr>
          <w:rFonts w:ascii="Calibri" w:cs="Calibri" w:eastAsia="Calibri" w:hAnsi="Calibri"/>
          <w:b/>
          <w:bCs/>
          <w:color w:val="000000"/>
          <w:sz w:val="21"/>
          <w:szCs w:val="21"/>
        </w:rPr>
        <w:t xml:space="preserve">Cette validation est celle du porteur en sa qualité de responsable de la mise en œuvre. Elle ne constitue pas la signature d’un professionnel de santé habilité : à cette date, ni médecin ni programme national n’a contresigné. La recommandation de faire contresigner l’arbre d’orientation et le calendrier vaccinal est maintenue, et le dossier prévu à cet effet demeure disponible et prêt à signer.</w:t>
      </w:r>
    </w:p>
    <w:p>
      <w:pPr>
        <w:spacing w:after="120"/>
      </w:pPr>
      <w:r>
        <w:rPr>
          <w:rFonts w:ascii="Calibri" w:cs="Calibri" w:eastAsia="Calibri" w:hAnsi="Calibri"/>
          <w:color w:val="000000"/>
          <w:sz w:val="21"/>
          <w:szCs w:val="21"/>
        </w:rPr>
        <w:t xml:space="preserve">Ces écrans restent des aides à l’orientation et au suivi, à biais conservateur — en cas de doute, l’usager est invité à consulter. Ils ne constituent en aucun cas un diagnostic, et les libellés affichés le rappellent. Cette qualification n’est pas modifiée par la décision ci-dessus.</w:t>
      </w:r>
    </w:p>
    <w:p>
      <w:r>
        <w:br w:type="page"/>
      </w:r>
    </w:p>
    <w:p>
      <w:pPr>
        <w:pStyle w:val="Heading1"/>
        <w:spacing w:after="140" w:before="320"/>
      </w:pPr>
      <w:r>
        <w:rPr>
          <w:rFonts w:ascii="Calibri" w:cs="Calibri" w:eastAsia="Calibri" w:hAnsi="Calibri"/>
          <w:b/>
          <w:bCs/>
          <w:color w:val="1E2347"/>
          <w:sz w:val="28"/>
          <w:szCs w:val="28"/>
        </w:rPr>
        <w:t xml:space="preserve">Partie III — Résultats et indicateurs vérifiables</w:t>
      </w:r>
    </w:p>
    <w:p>
      <w:pPr>
        <w:pStyle w:val="Heading2"/>
        <w:spacing w:after="140" w:before="220"/>
      </w:pPr>
      <w:r>
        <w:rPr>
          <w:rFonts w:ascii="Calibri" w:cs="Calibri" w:eastAsia="Calibri" w:hAnsi="Calibri"/>
          <w:b/>
          <w:bCs/>
          <w:color w:val="2E7D46"/>
          <w:sz w:val="24"/>
          <w:szCs w:val="24"/>
        </w:rPr>
        <w:t xml:space="preserve">III.1 Indicateurs de la période</w:t>
      </w:r>
    </w:p>
    <w:p>
      <w:pPr>
        <w:spacing w:after="120"/>
      </w:pPr>
      <w:r>
        <w:rPr>
          <w:rFonts w:ascii="Calibri" w:cs="Calibri" w:eastAsia="Calibri" w:hAnsi="Calibri"/>
          <w:color w:val="000000"/>
          <w:sz w:val="21"/>
          <w:szCs w:val="21"/>
        </w:rPr>
        <w:t xml:space="preserve">Périmètre mesuré : de la révision 54ade4b à la révision 4b0fa9d de la branche de production.</w:t>
      </w:r>
    </w:p>
    <w:tbl>
      <w:tblPr>
        <w:tblW w:type="dxa" w:w="9026"/>
        <w:tblBorders>
          <w:top w:val="single" w:color="CCC4B8" w:sz="4"/>
          <w:left w:val="single" w:color="CCC4B8" w:sz="4"/>
          <w:bottom w:val="single" w:color="CCC4B8" w:sz="4"/>
          <w:right w:val="single" w:color="CCC4B8" w:sz="4"/>
          <w:insideH w:val="single" w:color="DDD6CB" w:sz="2"/>
          <w:insideV w:val="single" w:color="DDD6CB" w:sz="2"/>
        </w:tblBorders>
      </w:tblPr>
      <w:tblGrid>
        <w:gridCol w:w="4026"/>
        <w:gridCol w:w="1600"/>
        <w:gridCol w:w="1600"/>
        <w:gridCol w:w="1800"/>
      </w:tblGrid>
      <w:tr>
        <w:trPr>
          <w:tblHeader/>
        </w:trPr>
        <w:tc>
          <w:tcPr>
            <w:tcW w:type="dxa" w:w="4026"/>
            <w:shd w:fill="F2EEE7" w:color="auto" w:val="clear"/>
            <w:tcMar>
              <w:top w:type="dxa" w:w="60"/>
              <w:left w:type="dxa" w:w="100"/>
              <w:bottom w:type="dxa" w:w="60"/>
              <w:right w:type="dxa" w:w="100"/>
            </w:tcMar>
          </w:tcPr>
          <w:p>
            <w:pPr>
              <w:spacing w:after="0"/>
            </w:pPr>
            <w:r>
              <w:rPr>
                <w:rFonts w:ascii="Calibri" w:cs="Calibri" w:eastAsia="Calibri" w:hAnsi="Calibri"/>
                <w:b/>
                <w:bCs/>
                <w:color w:val="1E2347"/>
                <w:sz w:val="19"/>
                <w:szCs w:val="19"/>
              </w:rPr>
              <w:t xml:space="preserve">Indicateur</w:t>
            </w:r>
          </w:p>
        </w:tc>
        <w:tc>
          <w:tcPr>
            <w:tcW w:type="dxa" w:w="1600"/>
            <w:shd w:fill="F2EEE7" w:color="auto" w:val="clear"/>
            <w:tcMar>
              <w:top w:type="dxa" w:w="60"/>
              <w:left w:type="dxa" w:w="100"/>
              <w:bottom w:type="dxa" w:w="60"/>
              <w:right w:type="dxa" w:w="100"/>
            </w:tcMar>
          </w:tcPr>
          <w:p>
            <w:pPr>
              <w:spacing w:after="0"/>
            </w:pPr>
            <w:r>
              <w:rPr>
                <w:rFonts w:ascii="Calibri" w:cs="Calibri" w:eastAsia="Calibri" w:hAnsi="Calibri"/>
                <w:b/>
                <w:bCs/>
                <w:color w:val="1E2347"/>
                <w:sz w:val="19"/>
                <w:szCs w:val="19"/>
              </w:rPr>
              <w:t xml:space="preserve">Début</w:t>
            </w:r>
          </w:p>
        </w:tc>
        <w:tc>
          <w:tcPr>
            <w:tcW w:type="dxa" w:w="1600"/>
            <w:shd w:fill="F2EEE7" w:color="auto" w:val="clear"/>
            <w:tcMar>
              <w:top w:type="dxa" w:w="60"/>
              <w:left w:type="dxa" w:w="100"/>
              <w:bottom w:type="dxa" w:w="60"/>
              <w:right w:type="dxa" w:w="100"/>
            </w:tcMar>
          </w:tcPr>
          <w:p>
            <w:pPr>
              <w:spacing w:after="0"/>
            </w:pPr>
            <w:r>
              <w:rPr>
                <w:rFonts w:ascii="Calibri" w:cs="Calibri" w:eastAsia="Calibri" w:hAnsi="Calibri"/>
                <w:b/>
                <w:bCs/>
                <w:color w:val="1E2347"/>
                <w:sz w:val="19"/>
                <w:szCs w:val="19"/>
              </w:rPr>
              <w:t xml:space="preserve">Fin</w:t>
            </w:r>
          </w:p>
        </w:tc>
        <w:tc>
          <w:tcPr>
            <w:tcW w:type="dxa" w:w="1800"/>
            <w:shd w:fill="F2EEE7" w:color="auto" w:val="clear"/>
            <w:tcMar>
              <w:top w:type="dxa" w:w="60"/>
              <w:left w:type="dxa" w:w="100"/>
              <w:bottom w:type="dxa" w:w="60"/>
              <w:right w:type="dxa" w:w="100"/>
            </w:tcMar>
          </w:tcPr>
          <w:p>
            <w:pPr>
              <w:spacing w:after="0"/>
            </w:pPr>
            <w:r>
              <w:rPr>
                <w:rFonts w:ascii="Calibri" w:cs="Calibri" w:eastAsia="Calibri" w:hAnsi="Calibri"/>
                <w:b/>
                <w:bCs/>
                <w:color w:val="1E2347"/>
                <w:sz w:val="19"/>
                <w:szCs w:val="19"/>
              </w:rPr>
              <w:t xml:space="preserve">Variation</w:t>
            </w:r>
          </w:p>
        </w:tc>
      </w:tr>
      <w:tr>
        <w:tc>
          <w:tcPr>
            <w:tcW w:type="dxa" w:w="4026"/>
            <w:tcMar>
              <w:top w:type="dxa" w:w="60"/>
              <w:left w:type="dxa" w:w="100"/>
              <w:bottom w:type="dxa" w:w="60"/>
              <w:right w:type="dxa" w:w="100"/>
            </w:tcMar>
          </w:tcPr>
          <w:p>
            <w:pPr>
              <w:spacing w:after="0"/>
            </w:pPr>
            <w:r>
              <w:rPr>
                <w:rFonts w:ascii="Calibri" w:cs="Calibri" w:eastAsia="Calibri" w:hAnsi="Calibri"/>
                <w:b/>
                <w:bCs/>
                <w:color w:val="1E2347"/>
                <w:sz w:val="19"/>
                <w:szCs w:val="19"/>
              </w:rPr>
              <w:t xml:space="preserve">Tests automatisés au vert</w:t>
            </w:r>
          </w:p>
        </w:tc>
        <w:tc>
          <w:tcPr>
            <w:tcW w:type="dxa" w:w="1600"/>
            <w:tcMar>
              <w:top w:type="dxa" w:w="60"/>
              <w:left w:type="dxa" w:w="100"/>
              <w:bottom w:type="dxa" w:w="60"/>
              <w:right w:type="dxa" w:w="100"/>
            </w:tcMar>
          </w:tcPr>
          <w:p>
            <w:pPr>
              <w:spacing w:after="0"/>
            </w:pPr>
            <w:r>
              <w:rPr>
                <w:rFonts w:ascii="Calibri" w:cs="Calibri" w:eastAsia="Calibri" w:hAnsi="Calibri"/>
                <w:color w:val="000000"/>
                <w:sz w:val="19"/>
                <w:szCs w:val="19"/>
              </w:rPr>
              <w:t xml:space="preserve">337</w:t>
            </w:r>
          </w:p>
        </w:tc>
        <w:tc>
          <w:tcPr>
            <w:tcW w:type="dxa" w:w="1600"/>
            <w:tcMar>
              <w:top w:type="dxa" w:w="60"/>
              <w:left w:type="dxa" w:w="100"/>
              <w:bottom w:type="dxa" w:w="60"/>
              <w:right w:type="dxa" w:w="100"/>
            </w:tcMar>
          </w:tcPr>
          <w:p>
            <w:pPr>
              <w:spacing w:after="0"/>
            </w:pPr>
            <w:r>
              <w:rPr>
                <w:rFonts w:ascii="Calibri" w:cs="Calibri" w:eastAsia="Calibri" w:hAnsi="Calibri"/>
                <w:color w:val="000000"/>
                <w:sz w:val="19"/>
                <w:szCs w:val="19"/>
              </w:rPr>
              <w:t xml:space="preserve">350</w:t>
            </w:r>
          </w:p>
        </w:tc>
        <w:tc>
          <w:tcPr>
            <w:tcW w:type="dxa" w:w="1800"/>
            <w:tcMar>
              <w:top w:type="dxa" w:w="60"/>
              <w:left w:type="dxa" w:w="100"/>
              <w:bottom w:type="dxa" w:w="60"/>
              <w:right w:type="dxa" w:w="100"/>
            </w:tcMar>
          </w:tcPr>
          <w:p>
            <w:pPr>
              <w:spacing w:after="0"/>
            </w:pPr>
            <w:r>
              <w:rPr>
                <w:rFonts w:ascii="Calibri" w:cs="Calibri" w:eastAsia="Calibri" w:hAnsi="Calibri"/>
                <w:b/>
                <w:bCs/>
                <w:color w:val="2E7D46"/>
                <w:sz w:val="19"/>
                <w:szCs w:val="19"/>
              </w:rPr>
              <w:t xml:space="preserve">+13</w:t>
            </w:r>
          </w:p>
        </w:tc>
      </w:tr>
      <w:tr>
        <w:tc>
          <w:tcPr>
            <w:tcW w:type="dxa" w:w="4026"/>
            <w:tcMar>
              <w:top w:type="dxa" w:w="60"/>
              <w:left w:type="dxa" w:w="100"/>
              <w:bottom w:type="dxa" w:w="60"/>
              <w:right w:type="dxa" w:w="100"/>
            </w:tcMar>
          </w:tcPr>
          <w:p>
            <w:pPr>
              <w:spacing w:after="0"/>
            </w:pPr>
            <w:r>
              <w:rPr>
                <w:rFonts w:ascii="Calibri" w:cs="Calibri" w:eastAsia="Calibri" w:hAnsi="Calibri"/>
                <w:b/>
                <w:bCs/>
                <w:color w:val="1E2347"/>
                <w:sz w:val="19"/>
                <w:szCs w:val="19"/>
              </w:rPr>
              <w:t xml:space="preserve">dont tests de l’interface</w:t>
            </w:r>
          </w:p>
        </w:tc>
        <w:tc>
          <w:tcPr>
            <w:tcW w:type="dxa" w:w="1600"/>
            <w:tcMar>
              <w:top w:type="dxa" w:w="60"/>
              <w:left w:type="dxa" w:w="100"/>
              <w:bottom w:type="dxa" w:w="60"/>
              <w:right w:type="dxa" w:w="100"/>
            </w:tcMar>
          </w:tcPr>
          <w:p>
            <w:pPr>
              <w:spacing w:after="0"/>
            </w:pPr>
            <w:r>
              <w:rPr>
                <w:rFonts w:ascii="Calibri" w:cs="Calibri" w:eastAsia="Calibri" w:hAnsi="Calibri"/>
                <w:color w:val="000000"/>
                <w:sz w:val="19"/>
                <w:szCs w:val="19"/>
              </w:rPr>
              <w:t xml:space="preserve">32</w:t>
            </w:r>
          </w:p>
        </w:tc>
        <w:tc>
          <w:tcPr>
            <w:tcW w:type="dxa" w:w="1600"/>
            <w:tcMar>
              <w:top w:type="dxa" w:w="60"/>
              <w:left w:type="dxa" w:w="100"/>
              <w:bottom w:type="dxa" w:w="60"/>
              <w:right w:type="dxa" w:w="100"/>
            </w:tcMar>
          </w:tcPr>
          <w:p>
            <w:pPr>
              <w:spacing w:after="0"/>
            </w:pPr>
            <w:r>
              <w:rPr>
                <w:rFonts w:ascii="Calibri" w:cs="Calibri" w:eastAsia="Calibri" w:hAnsi="Calibri"/>
                <w:color w:val="000000"/>
                <w:sz w:val="19"/>
                <w:szCs w:val="19"/>
              </w:rPr>
              <w:t xml:space="preserve">32</w:t>
            </w:r>
          </w:p>
        </w:tc>
        <w:tc>
          <w:tcPr>
            <w:tcW w:type="dxa" w:w="1800"/>
            <w:tcMar>
              <w:top w:type="dxa" w:w="60"/>
              <w:left w:type="dxa" w:w="100"/>
              <w:bottom w:type="dxa" w:w="60"/>
              <w:right w:type="dxa" w:w="100"/>
            </w:tcMar>
          </w:tcPr>
          <w:p>
            <w:pPr>
              <w:spacing w:after="0"/>
            </w:pPr>
            <w:r>
              <w:rPr>
                <w:rFonts w:ascii="Calibri" w:cs="Calibri" w:eastAsia="Calibri" w:hAnsi="Calibri"/>
                <w:b/>
                <w:bCs/>
                <w:color w:val="6B6155"/>
                <w:sz w:val="19"/>
                <w:szCs w:val="19"/>
              </w:rPr>
              <w:t xml:space="preserve">=</w:t>
            </w:r>
          </w:p>
        </w:tc>
      </w:tr>
      <w:tr>
        <w:tc>
          <w:tcPr>
            <w:tcW w:type="dxa" w:w="4026"/>
            <w:tcMar>
              <w:top w:type="dxa" w:w="60"/>
              <w:left w:type="dxa" w:w="100"/>
              <w:bottom w:type="dxa" w:w="60"/>
              <w:right w:type="dxa" w:w="100"/>
            </w:tcMar>
          </w:tcPr>
          <w:p>
            <w:pPr>
              <w:spacing w:after="0"/>
            </w:pPr>
            <w:r>
              <w:rPr>
                <w:rFonts w:ascii="Calibri" w:cs="Calibri" w:eastAsia="Calibri" w:hAnsi="Calibri"/>
                <w:b/>
                <w:bCs/>
                <w:color w:val="1E2347"/>
                <w:sz w:val="19"/>
                <w:szCs w:val="19"/>
              </w:rPr>
              <w:t xml:space="preserve">Scénarios de bout en bout</w:t>
            </w:r>
          </w:p>
        </w:tc>
        <w:tc>
          <w:tcPr>
            <w:tcW w:type="dxa" w:w="1600"/>
            <w:tcMar>
              <w:top w:type="dxa" w:w="60"/>
              <w:left w:type="dxa" w:w="100"/>
              <w:bottom w:type="dxa" w:w="60"/>
              <w:right w:type="dxa" w:w="100"/>
            </w:tcMar>
          </w:tcPr>
          <w:p>
            <w:pPr>
              <w:spacing w:after="0"/>
            </w:pPr>
            <w:r>
              <w:rPr>
                <w:rFonts w:ascii="Calibri" w:cs="Calibri" w:eastAsia="Calibri" w:hAnsi="Calibri"/>
                <w:color w:val="000000"/>
                <w:sz w:val="19"/>
                <w:szCs w:val="19"/>
              </w:rPr>
              <w:t xml:space="preserve">8</w:t>
            </w:r>
          </w:p>
        </w:tc>
        <w:tc>
          <w:tcPr>
            <w:tcW w:type="dxa" w:w="1600"/>
            <w:tcMar>
              <w:top w:type="dxa" w:w="60"/>
              <w:left w:type="dxa" w:w="100"/>
              <w:bottom w:type="dxa" w:w="60"/>
              <w:right w:type="dxa" w:w="100"/>
            </w:tcMar>
          </w:tcPr>
          <w:p>
            <w:pPr>
              <w:spacing w:after="0"/>
            </w:pPr>
            <w:r>
              <w:rPr>
                <w:rFonts w:ascii="Calibri" w:cs="Calibri" w:eastAsia="Calibri" w:hAnsi="Calibri"/>
                <w:color w:val="000000"/>
                <w:sz w:val="19"/>
                <w:szCs w:val="19"/>
              </w:rPr>
              <w:t xml:space="preserve">8</w:t>
            </w:r>
          </w:p>
        </w:tc>
        <w:tc>
          <w:tcPr>
            <w:tcW w:type="dxa" w:w="1800"/>
            <w:tcMar>
              <w:top w:type="dxa" w:w="60"/>
              <w:left w:type="dxa" w:w="100"/>
              <w:bottom w:type="dxa" w:w="60"/>
              <w:right w:type="dxa" w:w="100"/>
            </w:tcMar>
          </w:tcPr>
          <w:p>
            <w:pPr>
              <w:spacing w:after="0"/>
            </w:pPr>
            <w:r>
              <w:rPr>
                <w:rFonts w:ascii="Calibri" w:cs="Calibri" w:eastAsia="Calibri" w:hAnsi="Calibri"/>
                <w:b/>
                <w:bCs/>
                <w:color w:val="6B6155"/>
                <w:sz w:val="19"/>
                <w:szCs w:val="19"/>
              </w:rPr>
              <w:t xml:space="preserve">=</w:t>
            </w:r>
          </w:p>
        </w:tc>
      </w:tr>
      <w:tr>
        <w:tc>
          <w:tcPr>
            <w:tcW w:type="dxa" w:w="4026"/>
            <w:tcMar>
              <w:top w:type="dxa" w:w="60"/>
              <w:left w:type="dxa" w:w="100"/>
              <w:bottom w:type="dxa" w:w="60"/>
              <w:right w:type="dxa" w:w="100"/>
            </w:tcMar>
          </w:tcPr>
          <w:p>
            <w:pPr>
              <w:spacing w:after="0"/>
            </w:pPr>
            <w:r>
              <w:rPr>
                <w:rFonts w:ascii="Calibri" w:cs="Calibri" w:eastAsia="Calibri" w:hAnsi="Calibri"/>
                <w:b/>
                <w:bCs/>
                <w:color w:val="1E2347"/>
                <w:sz w:val="19"/>
                <w:szCs w:val="19"/>
              </w:rPr>
              <w:t xml:space="preserve">Points d’entrée de l’API</w:t>
            </w:r>
          </w:p>
        </w:tc>
        <w:tc>
          <w:tcPr>
            <w:tcW w:type="dxa" w:w="1600"/>
            <w:tcMar>
              <w:top w:type="dxa" w:w="60"/>
              <w:left w:type="dxa" w:w="100"/>
              <w:bottom w:type="dxa" w:w="60"/>
              <w:right w:type="dxa" w:w="100"/>
            </w:tcMar>
          </w:tcPr>
          <w:p>
            <w:pPr>
              <w:spacing w:after="0"/>
            </w:pPr>
            <w:r>
              <w:rPr>
                <w:rFonts w:ascii="Calibri" w:cs="Calibri" w:eastAsia="Calibri" w:hAnsi="Calibri"/>
                <w:color w:val="000000"/>
                <w:sz w:val="19"/>
                <w:szCs w:val="19"/>
              </w:rPr>
              <w:t xml:space="preserve">163</w:t>
            </w:r>
          </w:p>
        </w:tc>
        <w:tc>
          <w:tcPr>
            <w:tcW w:type="dxa" w:w="1600"/>
            <w:tcMar>
              <w:top w:type="dxa" w:w="60"/>
              <w:left w:type="dxa" w:w="100"/>
              <w:bottom w:type="dxa" w:w="60"/>
              <w:right w:type="dxa" w:w="100"/>
            </w:tcMar>
          </w:tcPr>
          <w:p>
            <w:pPr>
              <w:spacing w:after="0"/>
            </w:pPr>
            <w:r>
              <w:rPr>
                <w:rFonts w:ascii="Calibri" w:cs="Calibri" w:eastAsia="Calibri" w:hAnsi="Calibri"/>
                <w:color w:val="000000"/>
                <w:sz w:val="19"/>
                <w:szCs w:val="19"/>
              </w:rPr>
              <w:t xml:space="preserve">163</w:t>
            </w:r>
          </w:p>
        </w:tc>
        <w:tc>
          <w:tcPr>
            <w:tcW w:type="dxa" w:w="1800"/>
            <w:tcMar>
              <w:top w:type="dxa" w:w="60"/>
              <w:left w:type="dxa" w:w="100"/>
              <w:bottom w:type="dxa" w:w="60"/>
              <w:right w:type="dxa" w:w="100"/>
            </w:tcMar>
          </w:tcPr>
          <w:p>
            <w:pPr>
              <w:spacing w:after="0"/>
            </w:pPr>
            <w:r>
              <w:rPr>
                <w:rFonts w:ascii="Calibri" w:cs="Calibri" w:eastAsia="Calibri" w:hAnsi="Calibri"/>
                <w:b/>
                <w:bCs/>
                <w:color w:val="6B6155"/>
                <w:sz w:val="19"/>
                <w:szCs w:val="19"/>
              </w:rPr>
              <w:t xml:space="preserve">=</w:t>
            </w:r>
          </w:p>
        </w:tc>
      </w:tr>
      <w:tr>
        <w:tc>
          <w:tcPr>
            <w:tcW w:type="dxa" w:w="4026"/>
            <w:tcMar>
              <w:top w:type="dxa" w:w="60"/>
              <w:left w:type="dxa" w:w="100"/>
              <w:bottom w:type="dxa" w:w="60"/>
              <w:right w:type="dxa" w:w="100"/>
            </w:tcMar>
          </w:tcPr>
          <w:p>
            <w:pPr>
              <w:spacing w:after="0"/>
            </w:pPr>
            <w:r>
              <w:rPr>
                <w:rFonts w:ascii="Calibri" w:cs="Calibri" w:eastAsia="Calibri" w:hAnsi="Calibri"/>
                <w:b/>
                <w:bCs/>
                <w:color w:val="1E2347"/>
                <w:sz w:val="19"/>
                <w:szCs w:val="19"/>
              </w:rPr>
              <w:t xml:space="preserve">Écrans de l’application</w:t>
            </w:r>
          </w:p>
        </w:tc>
        <w:tc>
          <w:tcPr>
            <w:tcW w:type="dxa" w:w="1600"/>
            <w:tcMar>
              <w:top w:type="dxa" w:w="60"/>
              <w:left w:type="dxa" w:w="100"/>
              <w:bottom w:type="dxa" w:w="60"/>
              <w:right w:type="dxa" w:w="100"/>
            </w:tcMar>
          </w:tcPr>
          <w:p>
            <w:pPr>
              <w:spacing w:after="0"/>
            </w:pPr>
            <w:r>
              <w:rPr>
                <w:rFonts w:ascii="Calibri" w:cs="Calibri" w:eastAsia="Calibri" w:hAnsi="Calibri"/>
                <w:color w:val="000000"/>
                <w:sz w:val="19"/>
                <w:szCs w:val="19"/>
              </w:rPr>
              <w:t xml:space="preserve">64</w:t>
            </w:r>
          </w:p>
        </w:tc>
        <w:tc>
          <w:tcPr>
            <w:tcW w:type="dxa" w:w="1600"/>
            <w:tcMar>
              <w:top w:type="dxa" w:w="60"/>
              <w:left w:type="dxa" w:w="100"/>
              <w:bottom w:type="dxa" w:w="60"/>
              <w:right w:type="dxa" w:w="100"/>
            </w:tcMar>
          </w:tcPr>
          <w:p>
            <w:pPr>
              <w:spacing w:after="0"/>
            </w:pPr>
            <w:r>
              <w:rPr>
                <w:rFonts w:ascii="Calibri" w:cs="Calibri" w:eastAsia="Calibri" w:hAnsi="Calibri"/>
                <w:color w:val="000000"/>
                <w:sz w:val="19"/>
                <w:szCs w:val="19"/>
              </w:rPr>
              <w:t xml:space="preserve">66</w:t>
            </w:r>
          </w:p>
        </w:tc>
        <w:tc>
          <w:tcPr>
            <w:tcW w:type="dxa" w:w="1800"/>
            <w:tcMar>
              <w:top w:type="dxa" w:w="60"/>
              <w:left w:type="dxa" w:w="100"/>
              <w:bottom w:type="dxa" w:w="60"/>
              <w:right w:type="dxa" w:w="100"/>
            </w:tcMar>
          </w:tcPr>
          <w:p>
            <w:pPr>
              <w:spacing w:after="0"/>
            </w:pPr>
            <w:r>
              <w:rPr>
                <w:rFonts w:ascii="Calibri" w:cs="Calibri" w:eastAsia="Calibri" w:hAnsi="Calibri"/>
                <w:b/>
                <w:bCs/>
                <w:color w:val="2E7D46"/>
                <w:sz w:val="19"/>
                <w:szCs w:val="19"/>
              </w:rPr>
              <w:t xml:space="preserve">+2</w:t>
            </w:r>
          </w:p>
        </w:tc>
      </w:tr>
      <w:tr>
        <w:tc>
          <w:tcPr>
            <w:tcW w:type="dxa" w:w="4026"/>
            <w:tcMar>
              <w:top w:type="dxa" w:w="60"/>
              <w:left w:type="dxa" w:w="100"/>
              <w:bottom w:type="dxa" w:w="60"/>
              <w:right w:type="dxa" w:w="100"/>
            </w:tcMar>
          </w:tcPr>
          <w:p>
            <w:pPr>
              <w:spacing w:after="0"/>
            </w:pPr>
            <w:r>
              <w:rPr>
                <w:rFonts w:ascii="Calibri" w:cs="Calibri" w:eastAsia="Calibri" w:hAnsi="Calibri"/>
                <w:b/>
                <w:bCs/>
                <w:color w:val="1E2347"/>
                <w:sz w:val="19"/>
                <w:szCs w:val="19"/>
              </w:rPr>
              <w:t xml:space="preserve">Modules fonctionnels</w:t>
            </w:r>
          </w:p>
        </w:tc>
        <w:tc>
          <w:tcPr>
            <w:tcW w:type="dxa" w:w="1600"/>
            <w:tcMar>
              <w:top w:type="dxa" w:w="60"/>
              <w:left w:type="dxa" w:w="100"/>
              <w:bottom w:type="dxa" w:w="60"/>
              <w:right w:type="dxa" w:w="100"/>
            </w:tcMar>
          </w:tcPr>
          <w:p>
            <w:pPr>
              <w:spacing w:after="0"/>
            </w:pPr>
            <w:r>
              <w:rPr>
                <w:rFonts w:ascii="Calibri" w:cs="Calibri" w:eastAsia="Calibri" w:hAnsi="Calibri"/>
                <w:color w:val="000000"/>
                <w:sz w:val="19"/>
                <w:szCs w:val="19"/>
              </w:rPr>
              <w:t xml:space="preserve">28</w:t>
            </w:r>
          </w:p>
        </w:tc>
        <w:tc>
          <w:tcPr>
            <w:tcW w:type="dxa" w:w="1600"/>
            <w:tcMar>
              <w:top w:type="dxa" w:w="60"/>
              <w:left w:type="dxa" w:w="100"/>
              <w:bottom w:type="dxa" w:w="60"/>
              <w:right w:type="dxa" w:w="100"/>
            </w:tcMar>
          </w:tcPr>
          <w:p>
            <w:pPr>
              <w:spacing w:after="0"/>
            </w:pPr>
            <w:r>
              <w:rPr>
                <w:rFonts w:ascii="Calibri" w:cs="Calibri" w:eastAsia="Calibri" w:hAnsi="Calibri"/>
                <w:color w:val="000000"/>
                <w:sz w:val="19"/>
                <w:szCs w:val="19"/>
              </w:rPr>
              <w:t xml:space="preserve">27</w:t>
            </w:r>
          </w:p>
        </w:tc>
        <w:tc>
          <w:tcPr>
            <w:tcW w:type="dxa" w:w="1800"/>
            <w:tcMar>
              <w:top w:type="dxa" w:w="60"/>
              <w:left w:type="dxa" w:w="100"/>
              <w:bottom w:type="dxa" w:w="60"/>
              <w:right w:type="dxa" w:w="100"/>
            </w:tcMar>
          </w:tcPr>
          <w:p>
            <w:pPr>
              <w:spacing w:after="0"/>
            </w:pPr>
            <w:r>
              <w:rPr>
                <w:rFonts w:ascii="Calibri" w:cs="Calibri" w:eastAsia="Calibri" w:hAnsi="Calibri"/>
                <w:b/>
                <w:bCs/>
                <w:color w:val="B07D1E"/>
                <w:sz w:val="19"/>
                <w:szCs w:val="19"/>
              </w:rPr>
              <w:t xml:space="preserve">−1</w:t>
            </w:r>
          </w:p>
        </w:tc>
      </w:tr>
      <w:tr>
        <w:tc>
          <w:tcPr>
            <w:tcW w:type="dxa" w:w="4026"/>
            <w:tcMar>
              <w:top w:type="dxa" w:w="60"/>
              <w:left w:type="dxa" w:w="100"/>
              <w:bottom w:type="dxa" w:w="60"/>
              <w:right w:type="dxa" w:w="100"/>
            </w:tcMar>
          </w:tcPr>
          <w:p>
            <w:pPr>
              <w:spacing w:after="0"/>
            </w:pPr>
            <w:r>
              <w:rPr>
                <w:rFonts w:ascii="Calibri" w:cs="Calibri" w:eastAsia="Calibri" w:hAnsi="Calibri"/>
                <w:b/>
                <w:bCs/>
                <w:color w:val="1E2347"/>
                <w:sz w:val="19"/>
                <w:szCs w:val="19"/>
              </w:rPr>
              <w:t xml:space="preserve">Modèles de données</w:t>
            </w:r>
          </w:p>
        </w:tc>
        <w:tc>
          <w:tcPr>
            <w:tcW w:type="dxa" w:w="1600"/>
            <w:tcMar>
              <w:top w:type="dxa" w:w="60"/>
              <w:left w:type="dxa" w:w="100"/>
              <w:bottom w:type="dxa" w:w="60"/>
              <w:right w:type="dxa" w:w="100"/>
            </w:tcMar>
          </w:tcPr>
          <w:p>
            <w:pPr>
              <w:spacing w:after="0"/>
            </w:pPr>
            <w:r>
              <w:rPr>
                <w:rFonts w:ascii="Calibri" w:cs="Calibri" w:eastAsia="Calibri" w:hAnsi="Calibri"/>
                <w:color w:val="000000"/>
                <w:sz w:val="19"/>
                <w:szCs w:val="19"/>
              </w:rPr>
              <w:t xml:space="preserve">49</w:t>
            </w:r>
          </w:p>
        </w:tc>
        <w:tc>
          <w:tcPr>
            <w:tcW w:type="dxa" w:w="1600"/>
            <w:tcMar>
              <w:top w:type="dxa" w:w="60"/>
              <w:left w:type="dxa" w:w="100"/>
              <w:bottom w:type="dxa" w:w="60"/>
              <w:right w:type="dxa" w:w="100"/>
            </w:tcMar>
          </w:tcPr>
          <w:p>
            <w:pPr>
              <w:spacing w:after="0"/>
            </w:pPr>
            <w:r>
              <w:rPr>
                <w:rFonts w:ascii="Calibri" w:cs="Calibri" w:eastAsia="Calibri" w:hAnsi="Calibri"/>
                <w:color w:val="000000"/>
                <w:sz w:val="19"/>
                <w:szCs w:val="19"/>
              </w:rPr>
              <w:t xml:space="preserve">48</w:t>
            </w:r>
          </w:p>
        </w:tc>
        <w:tc>
          <w:tcPr>
            <w:tcW w:type="dxa" w:w="1800"/>
            <w:tcMar>
              <w:top w:type="dxa" w:w="60"/>
              <w:left w:type="dxa" w:w="100"/>
              <w:bottom w:type="dxa" w:w="60"/>
              <w:right w:type="dxa" w:w="100"/>
            </w:tcMar>
          </w:tcPr>
          <w:p>
            <w:pPr>
              <w:spacing w:after="0"/>
            </w:pPr>
            <w:r>
              <w:rPr>
                <w:rFonts w:ascii="Calibri" w:cs="Calibri" w:eastAsia="Calibri" w:hAnsi="Calibri"/>
                <w:b/>
                <w:bCs/>
                <w:color w:val="B07D1E"/>
                <w:sz w:val="19"/>
                <w:szCs w:val="19"/>
              </w:rPr>
              <w:t xml:space="preserve">−1</w:t>
            </w:r>
          </w:p>
        </w:tc>
      </w:tr>
      <w:tr>
        <w:tc>
          <w:tcPr>
            <w:tcW w:type="dxa" w:w="4026"/>
            <w:tcMar>
              <w:top w:type="dxa" w:w="60"/>
              <w:left w:type="dxa" w:w="100"/>
              <w:bottom w:type="dxa" w:w="60"/>
              <w:right w:type="dxa" w:w="100"/>
            </w:tcMar>
          </w:tcPr>
          <w:p>
            <w:pPr>
              <w:spacing w:after="0"/>
            </w:pPr>
            <w:r>
              <w:rPr>
                <w:rFonts w:ascii="Calibri" w:cs="Calibri" w:eastAsia="Calibri" w:hAnsi="Calibri"/>
                <w:b/>
                <w:bCs/>
                <w:color w:val="1E2347"/>
                <w:sz w:val="19"/>
                <w:szCs w:val="19"/>
              </w:rPr>
              <w:t xml:space="preserve">Dépendances externes ajoutées</w:t>
            </w:r>
          </w:p>
        </w:tc>
        <w:tc>
          <w:tcPr>
            <w:tcW w:type="dxa" w:w="1600"/>
            <w:tcMar>
              <w:top w:type="dxa" w:w="60"/>
              <w:left w:type="dxa" w:w="100"/>
              <w:bottom w:type="dxa" w:w="60"/>
              <w:right w:type="dxa" w:w="100"/>
            </w:tcMar>
          </w:tcPr>
          <w:p>
            <w:pPr>
              <w:spacing w:after="0"/>
            </w:pPr>
            <w:r>
              <w:rPr>
                <w:rFonts w:ascii="Calibri" w:cs="Calibri" w:eastAsia="Calibri" w:hAnsi="Calibri"/>
                <w:color w:val="000000"/>
                <w:sz w:val="19"/>
                <w:szCs w:val="19"/>
              </w:rPr>
              <w:t xml:space="preserve">—</w:t>
            </w:r>
          </w:p>
        </w:tc>
        <w:tc>
          <w:tcPr>
            <w:tcW w:type="dxa" w:w="1600"/>
            <w:tcMar>
              <w:top w:type="dxa" w:w="60"/>
              <w:left w:type="dxa" w:w="100"/>
              <w:bottom w:type="dxa" w:w="60"/>
              <w:right w:type="dxa" w:w="100"/>
            </w:tcMar>
          </w:tcPr>
          <w:p>
            <w:pPr>
              <w:spacing w:after="0"/>
            </w:pPr>
            <w:r>
              <w:rPr>
                <w:rFonts w:ascii="Calibri" w:cs="Calibri" w:eastAsia="Calibri" w:hAnsi="Calibri"/>
                <w:color w:val="000000"/>
                <w:sz w:val="19"/>
                <w:szCs w:val="19"/>
              </w:rPr>
              <w:t xml:space="preserve">0</w:t>
            </w:r>
          </w:p>
        </w:tc>
        <w:tc>
          <w:tcPr>
            <w:tcW w:type="dxa" w:w="1800"/>
            <w:tcMar>
              <w:top w:type="dxa" w:w="60"/>
              <w:left w:type="dxa" w:w="100"/>
              <w:bottom w:type="dxa" w:w="60"/>
              <w:right w:type="dxa" w:w="100"/>
            </w:tcMar>
          </w:tcPr>
          <w:p>
            <w:pPr>
              <w:spacing w:after="0"/>
            </w:pPr>
            <w:r>
              <w:rPr>
                <w:rFonts w:ascii="Calibri" w:cs="Calibri" w:eastAsia="Calibri" w:hAnsi="Calibri"/>
                <w:b/>
                <w:bCs/>
                <w:color w:val="6B6155"/>
                <w:sz w:val="19"/>
                <w:szCs w:val="19"/>
              </w:rPr>
              <w:t xml:space="preserve">0</w:t>
            </w:r>
          </w:p>
        </w:tc>
      </w:tr>
    </w:tbl>
    <w:p>
      <w:pPr>
        <w:spacing w:after="160"/>
      </w:pPr>
      <w:r>
        <w:rPr>
          <w:rFonts w:ascii="Calibri" w:cs="Calibri" w:eastAsia="Calibri" w:hAnsi="Calibri"/>
          <w:color w:val="000000"/>
          <w:sz w:val="21"/>
          <w:szCs w:val="21"/>
        </w:rPr>
        <w:t xml:space="preserve"> </w:t>
      </w:r>
    </w:p>
    <w:p>
      <w:pPr>
        <w:spacing w:after="120"/>
      </w:pPr>
      <w:r>
        <w:rPr>
          <w:rFonts w:ascii="Calibri" w:cs="Calibri" w:eastAsia="Calibri" w:hAnsi="Calibri"/>
          <w:color w:val="000000"/>
          <w:sz w:val="21"/>
          <w:szCs w:val="21"/>
        </w:rPr>
        <w:t xml:space="preserve">La stabilité du nombre de points d’entrée traduit un solde : deux ajoutés au titre des nouvelles fonctions médecin, deux retirés avec le module supprimé. Le volume de code ajouté sur la période s’élève à 53 fichiers modifiés, 2 542 lignes ajoutées et 481 supprimées.</w:t>
      </w:r>
    </w:p>
    <w:p>
      <w:pPr>
        <w:pStyle w:val="Heading2"/>
        <w:spacing w:after="140" w:before="220"/>
      </w:pPr>
      <w:r>
        <w:rPr>
          <w:rFonts w:ascii="Calibri" w:cs="Calibri" w:eastAsia="Calibri" w:hAnsi="Calibri"/>
          <w:b/>
          <w:bCs/>
          <w:color w:val="2E7D46"/>
          <w:sz w:val="24"/>
          <w:szCs w:val="24"/>
        </w:rPr>
        <w:t xml:space="preserve">III.2 Contrôles exécutés</w:t>
      </w:r>
    </w:p>
    <w:p>
      <w:pPr>
        <w:spacing w:after="120"/>
      </w:pPr>
      <w:r>
        <w:rPr>
          <w:rFonts w:ascii="Calibri" w:cs="Calibri" w:eastAsia="Calibri" w:hAnsi="Calibri"/>
          <w:color w:val="000000"/>
          <w:sz w:val="21"/>
          <w:szCs w:val="21"/>
        </w:rPr>
        <w:t xml:space="preserve">Les contrôles suivants sont au vert sur la révision finale et rejoués automatiquement à chaque intégration :</w:t>
      </w:r>
    </w:p>
    <w:p>
      <w:pPr>
        <w:pStyle w:val="ListParagraph"/>
        <w:numPr>
          <w:ilvl w:val="0"/>
          <w:numId w:val="1"/>
        </w:numPr>
        <w:spacing w:after="80"/>
      </w:pPr>
      <w:r>
        <w:rPr>
          <w:rFonts w:ascii="Calibri" w:cs="Calibri" w:eastAsia="Calibri" w:hAnsi="Calibri"/>
          <w:color w:val="000000"/>
          <w:sz w:val="21"/>
          <w:szCs w:val="21"/>
        </w:rPr>
        <w:t xml:space="preserve">contrôle de typage sur les trois projets du dépôt ;</w:t>
      </w:r>
    </w:p>
    <w:p>
      <w:pPr>
        <w:pStyle w:val="ListParagraph"/>
        <w:numPr>
          <w:ilvl w:val="0"/>
          <w:numId w:val="1"/>
        </w:numPr>
        <w:spacing w:after="80"/>
      </w:pPr>
      <w:r>
        <w:rPr>
          <w:rFonts w:ascii="Calibri" w:cs="Calibri" w:eastAsia="Calibri" w:hAnsi="Calibri"/>
          <w:color w:val="000000"/>
          <w:sz w:val="21"/>
          <w:szCs w:val="21"/>
        </w:rPr>
        <w:t xml:space="preserve">contrôle de style, sans avertissement ;</w:t>
      </w:r>
    </w:p>
    <w:p>
      <w:pPr>
        <w:pStyle w:val="ListParagraph"/>
        <w:numPr>
          <w:ilvl w:val="0"/>
          <w:numId w:val="1"/>
        </w:numPr>
        <w:spacing w:after="80"/>
      </w:pPr>
      <w:r>
        <w:rPr>
          <w:rFonts w:ascii="Calibri" w:cs="Calibri" w:eastAsia="Calibri" w:hAnsi="Calibri"/>
          <w:color w:val="000000"/>
          <w:sz w:val="21"/>
          <w:szCs w:val="21"/>
        </w:rPr>
        <w:t xml:space="preserve">350 tests automatisés (318 côté serveur, 32 côté interface) ;</w:t>
      </w:r>
    </w:p>
    <w:p>
      <w:pPr>
        <w:pStyle w:val="ListParagraph"/>
        <w:numPr>
          <w:ilvl w:val="0"/>
          <w:numId w:val="1"/>
        </w:numPr>
        <w:spacing w:after="80"/>
      </w:pPr>
      <w:r>
        <w:rPr>
          <w:rFonts w:ascii="Calibri" w:cs="Calibri" w:eastAsia="Calibri" w:hAnsi="Calibri"/>
          <w:color w:val="000000"/>
          <w:sz w:val="21"/>
          <w:szCs w:val="21"/>
        </w:rPr>
        <w:t xml:space="preserve">8 scénarios de bout en bout sur la pile réelle, navigateur compris ;</w:t>
      </w:r>
    </w:p>
    <w:p>
      <w:pPr>
        <w:pStyle w:val="ListParagraph"/>
        <w:numPr>
          <w:ilvl w:val="0"/>
          <w:numId w:val="1"/>
        </w:numPr>
        <w:spacing w:after="80"/>
      </w:pPr>
      <w:r>
        <w:rPr>
          <w:rFonts w:ascii="Calibri" w:cs="Calibri" w:eastAsia="Calibri" w:hAnsi="Calibri"/>
          <w:color w:val="000000"/>
          <w:sz w:val="21"/>
          <w:szCs w:val="21"/>
        </w:rPr>
        <w:t xml:space="preserve">compilation des deux applications ;</w:t>
      </w:r>
    </w:p>
    <w:p>
      <w:pPr>
        <w:pStyle w:val="ListParagraph"/>
        <w:numPr>
          <w:ilvl w:val="0"/>
          <w:numId w:val="1"/>
        </w:numPr>
        <w:spacing w:after="80"/>
      </w:pPr>
      <w:r>
        <w:rPr>
          <w:rFonts w:ascii="Calibri" w:cs="Calibri" w:eastAsia="Calibri" w:hAnsi="Calibri"/>
          <w:color w:val="000000"/>
          <w:sz w:val="21"/>
          <w:szCs w:val="21"/>
        </w:rPr>
        <w:t xml:space="preserve">couverture linguistique : anglais complet ; fɔ̀ngbè et yorùbá à 93 %.</w:t>
      </w:r>
    </w:p>
    <w:p>
      <w:pPr>
        <w:pStyle w:val="Heading2"/>
        <w:spacing w:after="140" w:before="220"/>
      </w:pPr>
      <w:r>
        <w:rPr>
          <w:rFonts w:ascii="Calibri" w:cs="Calibri" w:eastAsia="Calibri" w:hAnsi="Calibri"/>
          <w:b/>
          <w:bCs/>
          <w:color w:val="2E7D46"/>
          <w:sz w:val="24"/>
          <w:szCs w:val="24"/>
        </w:rPr>
        <w:t xml:space="preserve">III.3 Conformité et protection des données</w:t>
      </w:r>
    </w:p>
    <w:p>
      <w:pPr>
        <w:spacing w:after="120"/>
      </w:pPr>
      <w:r>
        <w:rPr>
          <w:rFonts w:ascii="Calibri" w:cs="Calibri" w:eastAsia="Calibri" w:hAnsi="Calibri"/>
          <w:color w:val="000000"/>
          <w:sz w:val="21"/>
          <w:szCs w:val="21"/>
        </w:rPr>
        <w:t xml:space="preserve">Les travaux de la période renforcent la conformité au regard de la loi n° 2017-20 et du règlement général sur la protection des données :</w:t>
      </w:r>
    </w:p>
    <w:p>
      <w:pPr>
        <w:pStyle w:val="ListParagraph"/>
        <w:numPr>
          <w:ilvl w:val="0"/>
          <w:numId w:val="1"/>
        </w:numPr>
        <w:spacing w:after="80"/>
      </w:pPr>
      <w:r>
        <w:rPr>
          <w:rFonts w:ascii="Calibri" w:cs="Calibri" w:eastAsia="Calibri" w:hAnsi="Calibri"/>
          <w:color w:val="000000"/>
          <w:sz w:val="21"/>
          <w:szCs w:val="21"/>
        </w:rPr>
        <w:t xml:space="preserve">journal d’audit désormais unique et intégralement chaîné par empreinte cryptographique, levant l’ambiguïté d’un second registre non protégé ;</w:t>
      </w:r>
    </w:p>
    <w:p>
      <w:pPr>
        <w:pStyle w:val="ListParagraph"/>
        <w:numPr>
          <w:ilvl w:val="0"/>
          <w:numId w:val="1"/>
        </w:numPr>
        <w:spacing w:after="80"/>
      </w:pPr>
      <w:r>
        <w:rPr>
          <w:rFonts w:ascii="Calibri" w:cs="Calibri" w:eastAsia="Calibri" w:hAnsi="Calibri"/>
          <w:color w:val="000000"/>
          <w:sz w:val="21"/>
          <w:szCs w:val="21"/>
        </w:rPr>
        <w:t xml:space="preserve">sauvegarde chiffrée étendue aux pièces jointes du dossier médical, jusque-là non archivées ;</w:t>
      </w:r>
    </w:p>
    <w:p>
      <w:pPr>
        <w:pStyle w:val="ListParagraph"/>
        <w:numPr>
          <w:ilvl w:val="0"/>
          <w:numId w:val="1"/>
        </w:numPr>
        <w:spacing w:after="80"/>
      </w:pPr>
      <w:r>
        <w:rPr>
          <w:rFonts w:ascii="Calibri" w:cs="Calibri" w:eastAsia="Calibri" w:hAnsi="Calibri"/>
          <w:color w:val="000000"/>
          <w:sz w:val="21"/>
          <w:szCs w:val="21"/>
        </w:rPr>
        <w:t xml:space="preserve">suppression des jetons de session des journaux du serveur mandataire, où ils étaient inscrits en clair ;</w:t>
      </w:r>
    </w:p>
    <w:p>
      <w:pPr>
        <w:pStyle w:val="ListParagraph"/>
        <w:numPr>
          <w:ilvl w:val="0"/>
          <w:numId w:val="1"/>
        </w:numPr>
        <w:spacing w:after="80"/>
      </w:pPr>
      <w:r>
        <w:rPr>
          <w:rFonts w:ascii="Calibri" w:cs="Calibri" w:eastAsia="Calibri" w:hAnsi="Calibri"/>
          <w:color w:val="000000"/>
          <w:sz w:val="21"/>
          <w:szCs w:val="21"/>
        </w:rPr>
        <w:t xml:space="preserve">cloisonnement vérifié sur les nouvelles fonctions : clôture d’alerte limitée à son auteur, relecture des contenus médicaux refusée à l’administrateur.</w:t>
      </w:r>
    </w:p>
    <w:p>
      <w:r>
        <w:br w:type="page"/>
      </w:r>
    </w:p>
    <w:p>
      <w:pPr>
        <w:pStyle w:val="Heading1"/>
        <w:spacing w:after="140" w:before="320"/>
      </w:pPr>
      <w:r>
        <w:rPr>
          <w:rFonts w:ascii="Calibri" w:cs="Calibri" w:eastAsia="Calibri" w:hAnsi="Calibri"/>
          <w:b/>
          <w:bCs/>
          <w:color w:val="1E2347"/>
          <w:sz w:val="28"/>
          <w:szCs w:val="28"/>
        </w:rPr>
        <w:t xml:space="preserve">Partie IV — Risques, points ouverts et suites</w:t>
      </w:r>
    </w:p>
    <w:p>
      <w:pPr>
        <w:pStyle w:val="Heading2"/>
        <w:spacing w:after="140" w:before="220"/>
      </w:pPr>
      <w:r>
        <w:rPr>
          <w:rFonts w:ascii="Calibri" w:cs="Calibri" w:eastAsia="Calibri" w:hAnsi="Calibri"/>
          <w:b/>
          <w:bCs/>
          <w:color w:val="2E7D46"/>
          <w:sz w:val="24"/>
          <w:szCs w:val="24"/>
        </w:rPr>
        <w:t xml:space="preserve">IV.1 Points ouverts</w:t>
      </w:r>
    </w:p>
    <w:p>
      <w:pPr>
        <w:spacing w:after="120"/>
      </w:pPr>
      <w:r>
        <w:rPr>
          <w:rFonts w:ascii="Calibri" w:cs="Calibri" w:eastAsia="Calibri" w:hAnsi="Calibri"/>
          <w:color w:val="000000"/>
          <w:sz w:val="21"/>
          <w:szCs w:val="21"/>
        </w:rPr>
        <w:t xml:space="preserve">À la clôture de la période, aucun écart fonctionnel n’est ouvert. Deux points subsistent, de nature non technique.</w:t>
      </w:r>
    </w:p>
    <w:tbl>
      <w:tblPr>
        <w:tblW w:type="dxa" w:w="9026"/>
        <w:tblBorders>
          <w:top w:val="single" w:color="CCC4B8" w:sz="4"/>
          <w:left w:val="single" w:color="CCC4B8" w:sz="4"/>
          <w:bottom w:val="single" w:color="CCC4B8" w:sz="4"/>
          <w:right w:val="single" w:color="CCC4B8" w:sz="4"/>
          <w:insideH w:val="single" w:color="DDD6CB" w:sz="2"/>
          <w:insideV w:val="single" w:color="DDD6CB" w:sz="2"/>
        </w:tblBorders>
      </w:tblPr>
      <w:tblGrid>
        <w:gridCol w:w="2600"/>
        <w:gridCol w:w="4426"/>
        <w:gridCol w:w="2000"/>
      </w:tblGrid>
      <w:tr>
        <w:trPr>
          <w:tblHeader/>
        </w:trPr>
        <w:tc>
          <w:tcPr>
            <w:tcW w:type="dxa" w:w="2600"/>
            <w:shd w:fill="F2EEE7" w:color="auto" w:val="clear"/>
            <w:tcMar>
              <w:top w:type="dxa" w:w="60"/>
              <w:left w:type="dxa" w:w="100"/>
              <w:bottom w:type="dxa" w:w="60"/>
              <w:right w:type="dxa" w:w="100"/>
            </w:tcMar>
          </w:tcPr>
          <w:p>
            <w:pPr>
              <w:spacing w:after="0"/>
            </w:pPr>
            <w:r>
              <w:rPr>
                <w:rFonts w:ascii="Calibri" w:cs="Calibri" w:eastAsia="Calibri" w:hAnsi="Calibri"/>
                <w:b/>
                <w:bCs/>
                <w:color w:val="1E2347"/>
                <w:sz w:val="19"/>
                <w:szCs w:val="19"/>
              </w:rPr>
              <w:t xml:space="preserve">Point</w:t>
            </w:r>
          </w:p>
        </w:tc>
        <w:tc>
          <w:tcPr>
            <w:tcW w:type="dxa" w:w="4426"/>
            <w:shd w:fill="F2EEE7" w:color="auto" w:val="clear"/>
            <w:tcMar>
              <w:top w:type="dxa" w:w="60"/>
              <w:left w:type="dxa" w:w="100"/>
              <w:bottom w:type="dxa" w:w="60"/>
              <w:right w:type="dxa" w:w="100"/>
            </w:tcMar>
          </w:tcPr>
          <w:p>
            <w:pPr>
              <w:spacing w:after="0"/>
            </w:pPr>
            <w:r>
              <w:rPr>
                <w:rFonts w:ascii="Calibri" w:cs="Calibri" w:eastAsia="Calibri" w:hAnsi="Calibri"/>
                <w:b/>
                <w:bCs/>
                <w:color w:val="1E2347"/>
                <w:sz w:val="19"/>
                <w:szCs w:val="19"/>
              </w:rPr>
              <w:t xml:space="preserve">Nature</w:t>
            </w:r>
          </w:p>
        </w:tc>
        <w:tc>
          <w:tcPr>
            <w:tcW w:type="dxa" w:w="2000"/>
            <w:shd w:fill="F2EEE7" w:color="auto" w:val="clear"/>
            <w:tcMar>
              <w:top w:type="dxa" w:w="60"/>
              <w:left w:type="dxa" w:w="100"/>
              <w:bottom w:type="dxa" w:w="60"/>
              <w:right w:type="dxa" w:w="100"/>
            </w:tcMar>
          </w:tcPr>
          <w:p>
            <w:pPr>
              <w:spacing w:after="0"/>
            </w:pPr>
            <w:r>
              <w:rPr>
                <w:rFonts w:ascii="Calibri" w:cs="Calibri" w:eastAsia="Calibri" w:hAnsi="Calibri"/>
                <w:b/>
                <w:bCs/>
                <w:color w:val="1E2347"/>
                <w:sz w:val="19"/>
                <w:szCs w:val="19"/>
              </w:rPr>
              <w:t xml:space="preserve">Responsable</w:t>
            </w:r>
          </w:p>
        </w:tc>
      </w:tr>
      <w:tr>
        <w:tc>
          <w:tcPr>
            <w:tcW w:type="dxa" w:w="2600"/>
            <w:tcMar>
              <w:top w:type="dxa" w:w="60"/>
              <w:left w:type="dxa" w:w="100"/>
              <w:bottom w:type="dxa" w:w="60"/>
              <w:right w:type="dxa" w:w="100"/>
            </w:tcMar>
          </w:tcPr>
          <w:p>
            <w:pPr>
              <w:spacing w:after="0"/>
            </w:pPr>
            <w:r>
              <w:rPr>
                <w:rFonts w:ascii="Calibri" w:cs="Calibri" w:eastAsia="Calibri" w:hAnsi="Calibri"/>
                <w:b/>
                <w:bCs/>
                <w:color w:val="1E2347"/>
                <w:sz w:val="19"/>
                <w:szCs w:val="19"/>
              </w:rPr>
              <w:t xml:space="preserve">Libellés d’urgence non traduits</w:t>
            </w:r>
          </w:p>
        </w:tc>
        <w:tc>
          <w:tcPr>
            <w:tcW w:type="dxa" w:w="4426"/>
            <w:tcMar>
              <w:top w:type="dxa" w:w="60"/>
              <w:left w:type="dxa" w:w="100"/>
              <w:bottom w:type="dxa" w:w="60"/>
              <w:right w:type="dxa" w:w="100"/>
            </w:tcMar>
          </w:tcPr>
          <w:p>
            <w:pPr>
              <w:spacing w:after="0"/>
            </w:pPr>
            <w:r>
              <w:rPr>
                <w:rFonts w:ascii="Calibri" w:cs="Calibri" w:eastAsia="Calibri" w:hAnsi="Calibri"/>
                <w:color w:val="000000"/>
                <w:sz w:val="19"/>
                <w:szCs w:val="19"/>
              </w:rPr>
              <w:t xml:space="preserve">Six libellés de clôture d’alerte restent en français et en anglais. Le repli en français est accepté à titre transitoire par décision du porteur ; un locuteur fɔ̀ngbè ou yorùbá verra donc du français sur cet écran. Les libellés sont extraits et prêts pour une relecture par des locuteurs natifs.</w:t>
            </w:r>
          </w:p>
        </w:tc>
        <w:tc>
          <w:tcPr>
            <w:tcW w:type="dxa" w:w="2000"/>
            <w:tcMar>
              <w:top w:type="dxa" w:w="60"/>
              <w:left w:type="dxa" w:w="100"/>
              <w:bottom w:type="dxa" w:w="60"/>
              <w:right w:type="dxa" w:w="100"/>
            </w:tcMar>
          </w:tcPr>
          <w:p>
            <w:pPr>
              <w:spacing w:after="0"/>
            </w:pPr>
            <w:r>
              <w:rPr>
                <w:rFonts w:ascii="Calibri" w:cs="Calibri" w:eastAsia="Calibri" w:hAnsi="Calibri"/>
                <w:color w:val="000000"/>
                <w:sz w:val="19"/>
                <w:szCs w:val="19"/>
              </w:rPr>
              <w:t xml:space="preserve">Porteur / traducteurs natifs</w:t>
            </w:r>
          </w:p>
        </w:tc>
      </w:tr>
      <w:tr>
        <w:tc>
          <w:tcPr>
            <w:tcW w:type="dxa" w:w="2600"/>
            <w:tcMar>
              <w:top w:type="dxa" w:w="60"/>
              <w:left w:type="dxa" w:w="100"/>
              <w:bottom w:type="dxa" w:w="60"/>
              <w:right w:type="dxa" w:w="100"/>
            </w:tcMar>
          </w:tcPr>
          <w:p>
            <w:pPr>
              <w:spacing w:after="0"/>
            </w:pPr>
            <w:r>
              <w:rPr>
                <w:rFonts w:ascii="Calibri" w:cs="Calibri" w:eastAsia="Calibri" w:hAnsi="Calibri"/>
                <w:b/>
                <w:bCs/>
                <w:color w:val="1E2347"/>
                <w:sz w:val="19"/>
                <w:szCs w:val="19"/>
              </w:rPr>
              <w:t xml:space="preserve">Mise en service sur serveur</w:t>
            </w:r>
          </w:p>
        </w:tc>
        <w:tc>
          <w:tcPr>
            <w:tcW w:type="dxa" w:w="4426"/>
            <w:tcMar>
              <w:top w:type="dxa" w:w="60"/>
              <w:left w:type="dxa" w:w="100"/>
              <w:bottom w:type="dxa" w:w="60"/>
              <w:right w:type="dxa" w:w="100"/>
            </w:tcMar>
          </w:tcPr>
          <w:p>
            <w:pPr>
              <w:spacing w:after="0"/>
            </w:pPr>
            <w:r>
              <w:rPr>
                <w:rFonts w:ascii="Calibri" w:cs="Calibri" w:eastAsia="Calibri" w:hAnsi="Calibri"/>
                <w:color w:val="000000"/>
                <w:sz w:val="19"/>
                <w:szCs w:val="19"/>
              </w:rPr>
              <w:t xml:space="preserve">Les scripts d’installation, de sauvegarde et de déploiement continu sont prêts et corrigés. L’exécution requiert un serveur, un nom de domaine et les secrets de production, qui ne figurent pas dans le dépôt.</w:t>
            </w:r>
          </w:p>
        </w:tc>
        <w:tc>
          <w:tcPr>
            <w:tcW w:type="dxa" w:w="2000"/>
            <w:tcMar>
              <w:top w:type="dxa" w:w="60"/>
              <w:left w:type="dxa" w:w="100"/>
              <w:bottom w:type="dxa" w:w="60"/>
              <w:right w:type="dxa" w:w="100"/>
            </w:tcMar>
          </w:tcPr>
          <w:p>
            <w:pPr>
              <w:spacing w:after="0"/>
            </w:pPr>
            <w:r>
              <w:rPr>
                <w:rFonts w:ascii="Calibri" w:cs="Calibri" w:eastAsia="Calibri" w:hAnsi="Calibri"/>
                <w:color w:val="000000"/>
                <w:sz w:val="19"/>
                <w:szCs w:val="19"/>
              </w:rPr>
              <w:t xml:space="preserve">Porteur / hébergeur</w:t>
            </w:r>
          </w:p>
        </w:tc>
      </w:tr>
    </w:tbl>
    <w:p>
      <w:pPr>
        <w:spacing w:after="160"/>
      </w:pPr>
      <w:r>
        <w:rPr>
          <w:rFonts w:ascii="Calibri" w:cs="Calibri" w:eastAsia="Calibri" w:hAnsi="Calibri"/>
          <w:color w:val="000000"/>
          <w:sz w:val="21"/>
          <w:szCs w:val="21"/>
        </w:rPr>
        <w:t xml:space="preserve"> </w:t>
      </w:r>
    </w:p>
    <w:p>
      <w:pPr>
        <w:pStyle w:val="Heading2"/>
        <w:spacing w:after="140" w:before="220"/>
      </w:pPr>
      <w:r>
        <w:rPr>
          <w:rFonts w:ascii="Calibri" w:cs="Calibri" w:eastAsia="Calibri" w:hAnsi="Calibri"/>
          <w:b/>
          <w:bCs/>
          <w:color w:val="2E7D46"/>
          <w:sz w:val="24"/>
          <w:szCs w:val="24"/>
        </w:rPr>
        <w:t xml:space="preserve">IV.2 Risques résiduels</w:t>
      </w:r>
    </w:p>
    <w:p>
      <w:pPr>
        <w:spacing w:after="120"/>
      </w:pPr>
      <w:r>
        <w:rPr>
          <w:rFonts w:ascii="Calibri" w:cs="Calibri" w:eastAsia="Calibri" w:hAnsi="Calibri"/>
          <w:color w:val="000000"/>
          <w:sz w:val="21"/>
          <w:szCs w:val="21"/>
        </w:rPr>
        <w:t xml:space="preserve">Deux risques sont assumés et tracés :</w:t>
      </w:r>
    </w:p>
    <w:p>
      <w:pPr>
        <w:pStyle w:val="ListParagraph"/>
        <w:numPr>
          <w:ilvl w:val="0"/>
          <w:numId w:val="1"/>
        </w:numPr>
        <w:spacing w:after="80"/>
      </w:pPr>
      <w:r>
        <w:rPr>
          <w:rFonts w:ascii="Calibri" w:cs="Calibri" w:eastAsia="Calibri" w:hAnsi="Calibri"/>
          <w:color w:val="000000"/>
          <w:sz w:val="21"/>
          <w:szCs w:val="21"/>
        </w:rPr>
        <w:t xml:space="preserve">Contenus cliniques retenus sans contreseing d’un professionnel de santé. Risque atténué par le biais conservateur des arbres d’orientation, par les avertissements affichés à l’usager et par la nature non diagnostique des écrans. Levée recommandée dès qu’un interlocuteur médical est disponible.</w:t>
      </w:r>
    </w:p>
    <w:p>
      <w:pPr>
        <w:pStyle w:val="ListParagraph"/>
        <w:numPr>
          <w:ilvl w:val="0"/>
          <w:numId w:val="1"/>
        </w:numPr>
        <w:spacing w:after="80"/>
      </w:pPr>
      <w:r>
        <w:rPr>
          <w:rFonts w:ascii="Calibri" w:cs="Calibri" w:eastAsia="Calibri" w:hAnsi="Calibri"/>
          <w:color w:val="000000"/>
          <w:sz w:val="21"/>
          <w:szCs w:val="21"/>
        </w:rPr>
        <w:t xml:space="preserve">Affichage en français des libellés d’urgence pour les locuteurs fɔ̀ngbè et yorùbá. Risque atténué par la présence de pictogrammes et par le caractère limité du périmètre concerné, mais à lever avant tout déploiement à grande échelle.</w:t>
      </w:r>
    </w:p>
    <w:p>
      <w:pPr>
        <w:pStyle w:val="Heading2"/>
        <w:spacing w:after="140" w:before="220"/>
      </w:pPr>
      <w:r>
        <w:rPr>
          <w:rFonts w:ascii="Calibri" w:cs="Calibri" w:eastAsia="Calibri" w:hAnsi="Calibri"/>
          <w:b/>
          <w:bCs/>
          <w:color w:val="2E7D46"/>
          <w:sz w:val="24"/>
          <w:szCs w:val="24"/>
        </w:rPr>
        <w:t xml:space="preserve">IV.3 Enseignements pour la suite</w:t>
      </w:r>
    </w:p>
    <w:p>
      <w:pPr>
        <w:spacing w:after="120"/>
      </w:pPr>
      <w:r>
        <w:rPr>
          <w:rFonts w:ascii="Calibri" w:cs="Calibri" w:eastAsia="Calibri" w:hAnsi="Calibri"/>
          <w:color w:val="000000"/>
          <w:sz w:val="21"/>
          <w:szCs w:val="21"/>
        </w:rPr>
        <w:t xml:space="preserve">Deux constats structurants ressortent de la période et ont été inscrits dans les règles de développement du projet :</w:t>
      </w:r>
    </w:p>
    <w:p>
      <w:pPr>
        <w:pStyle w:val="ListParagraph"/>
        <w:numPr>
          <w:ilvl w:val="0"/>
          <w:numId w:val="1"/>
        </w:numPr>
        <w:spacing w:after="80"/>
      </w:pPr>
      <w:r>
        <w:rPr>
          <w:rFonts w:ascii="Calibri" w:cs="Calibri" w:eastAsia="Calibri" w:hAnsi="Calibri"/>
          <w:color w:val="000000"/>
          <w:sz w:val="21"/>
          <w:szCs w:val="21"/>
        </w:rPr>
        <w:t xml:space="preserve">Un module développé et testé mais qu’aucun écran n’appelle constitue un travail achevé à quatre-vingt-dix pour cent, dont les dix pour cent manquants sont les seuls que l’usager perçoit. La quasi-totalité des écarts identifiés relève de ce schéma.</w:t>
      </w:r>
    </w:p>
    <w:p>
      <w:pPr>
        <w:pStyle w:val="ListParagraph"/>
        <w:numPr>
          <w:ilvl w:val="0"/>
          <w:numId w:val="1"/>
        </w:numPr>
        <w:spacing w:after="80"/>
      </w:pPr>
      <w:r>
        <w:rPr>
          <w:rFonts w:ascii="Calibri" w:cs="Calibri" w:eastAsia="Calibri" w:hAnsi="Calibri"/>
          <w:color w:val="000000"/>
          <w:sz w:val="21"/>
          <w:szCs w:val="21"/>
        </w:rPr>
        <w:t xml:space="preserve">Une suite de tests au vert mesure la cohérence du logiciel avec lui-même, non sa conformité au monde extérieur. Les contrats externes — format de signature d’un partenaire de paiement, planification des tâches, contenu des sauvegardes — se vérifient contre leur source et non contre les hypothèses du projet.</w:t>
      </w:r>
    </w:p>
    <w:p>
      <w:pPr>
        <w:pStyle w:val="Heading2"/>
        <w:spacing w:after="140" w:before="220"/>
      </w:pPr>
      <w:r>
        <w:rPr>
          <w:rFonts w:ascii="Calibri" w:cs="Calibri" w:eastAsia="Calibri" w:hAnsi="Calibri"/>
          <w:b/>
          <w:bCs/>
          <w:color w:val="2E7D46"/>
          <w:sz w:val="24"/>
          <w:szCs w:val="24"/>
        </w:rPr>
        <w:t xml:space="preserve">IV.4 Prochaines étapes</w:t>
      </w:r>
    </w:p>
    <w:p>
      <w:pPr>
        <w:pStyle w:val="ListParagraph"/>
        <w:numPr>
          <w:ilvl w:val="0"/>
          <w:numId w:val="1"/>
        </w:numPr>
        <w:spacing w:after="80"/>
      </w:pPr>
      <w:r>
        <w:rPr>
          <w:rFonts w:ascii="Calibri" w:cs="Calibri" w:eastAsia="Calibri" w:hAnsi="Calibri"/>
          <w:color w:val="000000"/>
          <w:sz w:val="21"/>
          <w:szCs w:val="21"/>
        </w:rPr>
        <w:t xml:space="preserve">Ouverture du compte auprès de l’opérateur de paiement et saisie des clés ; la bascule du mode simulé au mode réel s’opère sans nouvelle livraison.</w:t>
      </w:r>
    </w:p>
    <w:p>
      <w:pPr>
        <w:pStyle w:val="ListParagraph"/>
        <w:numPr>
          <w:ilvl w:val="0"/>
          <w:numId w:val="1"/>
        </w:numPr>
        <w:spacing w:after="80"/>
      </w:pPr>
      <w:r>
        <w:rPr>
          <w:rFonts w:ascii="Calibri" w:cs="Calibri" w:eastAsia="Calibri" w:hAnsi="Calibri"/>
          <w:color w:val="000000"/>
          <w:sz w:val="21"/>
          <w:szCs w:val="21"/>
        </w:rPr>
        <w:t xml:space="preserve">Mise en service sur le serveur, selon la procédure de déploiement à jour.</w:t>
      </w:r>
    </w:p>
    <w:p>
      <w:pPr>
        <w:pStyle w:val="ListParagraph"/>
        <w:numPr>
          <w:ilvl w:val="0"/>
          <w:numId w:val="1"/>
        </w:numPr>
        <w:spacing w:after="80"/>
      </w:pPr>
      <w:r>
        <w:rPr>
          <w:rFonts w:ascii="Calibri" w:cs="Calibri" w:eastAsia="Calibri" w:hAnsi="Calibri"/>
          <w:color w:val="000000"/>
          <w:sz w:val="21"/>
          <w:szCs w:val="21"/>
        </w:rPr>
        <w:t xml:space="preserve">Relecture des six libellés d’urgence par des locuteurs natifs.</w:t>
      </w:r>
    </w:p>
    <w:p>
      <w:pPr>
        <w:pStyle w:val="ListParagraph"/>
        <w:numPr>
          <w:ilvl w:val="0"/>
          <w:numId w:val="1"/>
        </w:numPr>
        <w:spacing w:after="80"/>
      </w:pPr>
      <w:r>
        <w:rPr>
          <w:rFonts w:ascii="Calibri" w:cs="Calibri" w:eastAsia="Calibri" w:hAnsi="Calibri"/>
          <w:color w:val="000000"/>
          <w:sz w:val="21"/>
          <w:szCs w:val="21"/>
        </w:rPr>
        <w:t xml:space="preserve">Contreseing médical des contenus cliniques dès qu’un interlocuteur est disponible.</w:t>
      </w:r>
    </w:p>
    <w:p>
      <w:r>
        <w:br w:type="page"/>
      </w:r>
    </w:p>
    <w:p>
      <w:pPr>
        <w:pStyle w:val="Heading1"/>
        <w:spacing w:after="140" w:before="320"/>
      </w:pPr>
      <w:r>
        <w:rPr>
          <w:rFonts w:ascii="Calibri" w:cs="Calibri" w:eastAsia="Calibri" w:hAnsi="Calibri"/>
          <w:b/>
          <w:bCs/>
          <w:color w:val="1E2347"/>
          <w:sz w:val="28"/>
          <w:szCs w:val="28"/>
        </w:rPr>
        <w:t xml:space="preserve">Attestation</w:t>
      </w:r>
    </w:p>
    <w:p>
      <w:pPr>
        <w:spacing w:after="120"/>
      </w:pPr>
      <w:r>
        <w:rPr>
          <w:rFonts w:ascii="Calibri" w:cs="Calibri" w:eastAsia="Calibri" w:hAnsi="Calibri"/>
          <w:color w:val="000000"/>
          <w:sz w:val="21"/>
          <w:szCs w:val="21"/>
        </w:rPr>
        <w:t xml:space="preserve">Je soussigné, porteur du projet DigiSanté Mobile, atteste de l’exactitude des travaux et des indicateurs présentés dans ce rapport pour la période du 18 au 19 août 2026, et de la traçabilité des corrections dans le dépôt de code du projet.</w:t>
      </w:r>
    </w:p>
    <w:p>
      <w:pPr>
        <w:spacing w:after="120"/>
      </w:pPr>
      <w:r>
        <w:rPr>
          <w:rFonts w:ascii="Calibri" w:cs="Calibri" w:eastAsia="Calibri" w:hAnsi="Calibri"/>
          <w:color w:val="000000"/>
          <w:sz w:val="21"/>
          <w:szCs w:val="21"/>
        </w:rPr>
        <w:t xml:space="preserve">J’atteste également avoir retenu en l’état les contenus à portée clinique de l’application, en connaissance de l’absence de contreseing d’un professionnel de santé à cette date, et de la recommandation maintenue de l’obtenir.</w:t>
      </w:r>
    </w:p>
    <w:p>
      <w:pPr>
        <w:spacing w:after="240"/>
      </w:pPr>
      <w:r>
        <w:rPr>
          <w:rFonts w:ascii="Calibri" w:cs="Calibri" w:eastAsia="Calibri" w:hAnsi="Calibri"/>
          <w:color w:val="000000"/>
          <w:sz w:val="21"/>
          <w:szCs w:val="21"/>
        </w:rPr>
        <w:t xml:space="preserve"> </w:t>
      </w:r>
    </w:p>
    <w:tbl>
      <w:tblPr>
        <w:tblW w:type="dxa" w:w="9026"/>
        <w:tblBorders>
          <w:top w:val="single" w:color="CCC4B8" w:sz="4"/>
          <w:left w:val="single" w:color="CCC4B8" w:sz="4"/>
          <w:bottom w:val="single" w:color="CCC4B8" w:sz="4"/>
          <w:right w:val="single" w:color="CCC4B8" w:sz="4"/>
          <w:insideH w:val="single" w:color="DDD6CB" w:sz="2"/>
          <w:insideV w:val="single" w:color="DDD6CB" w:sz="2"/>
        </w:tblBorders>
      </w:tblPr>
      <w:tblGrid>
        <w:gridCol w:w="3000"/>
        <w:gridCol w:w="6026"/>
      </w:tblGrid>
      <w:tr>
        <w:tc>
          <w:tcPr>
            <w:tcW w:type="dxa" w:w="3000"/>
            <w:shd w:fill="F2EEE7" w:color="auto" w:val="clear"/>
            <w:tcMar>
              <w:top w:type="dxa" w:w="60"/>
              <w:left w:type="dxa" w:w="100"/>
              <w:bottom w:type="dxa" w:w="60"/>
              <w:right w:type="dxa" w:w="100"/>
            </w:tcMar>
          </w:tcPr>
          <w:p>
            <w:pPr>
              <w:spacing w:after="0"/>
            </w:pPr>
            <w:r>
              <w:rPr>
                <w:rFonts w:ascii="Calibri" w:cs="Calibri" w:eastAsia="Calibri" w:hAnsi="Calibri"/>
                <w:b/>
                <w:bCs/>
                <w:color w:val="1E2347"/>
                <w:sz w:val="19"/>
                <w:szCs w:val="19"/>
              </w:rPr>
              <w:t xml:space="preserve">Nom et qualité</w:t>
            </w:r>
          </w:p>
        </w:tc>
        <w:tc>
          <w:tcPr>
            <w:tcW w:type="dxa" w:w="6026"/>
            <w:tcMar>
              <w:top w:type="dxa" w:w="60"/>
              <w:left w:type="dxa" w:w="100"/>
              <w:bottom w:type="dxa" w:w="60"/>
              <w:right w:type="dxa" w:w="100"/>
            </w:tcMar>
          </w:tcPr>
          <w:p>
            <w:pPr>
              <w:spacing w:after="0"/>
            </w:pPr>
            <w:r>
              <w:rPr>
                <w:rFonts w:ascii="Calibri" w:cs="Calibri" w:eastAsia="Calibri" w:hAnsi="Calibri"/>
                <w:color w:val="000000"/>
                <w:sz w:val="19"/>
                <w:szCs w:val="19"/>
              </w:rPr>
              <w:t xml:space="preserve">SEGLA E. Ulrich Gislain — porteur du projet</w:t>
            </w:r>
          </w:p>
        </w:tc>
      </w:tr>
      <w:tr>
        <w:tc>
          <w:tcPr>
            <w:tcW w:type="dxa" w:w="3000"/>
            <w:shd w:fill="F2EEE7" w:color="auto" w:val="clear"/>
            <w:tcMar>
              <w:top w:type="dxa" w:w="60"/>
              <w:left w:type="dxa" w:w="100"/>
              <w:bottom w:type="dxa" w:w="60"/>
              <w:right w:type="dxa" w:w="100"/>
            </w:tcMar>
          </w:tcPr>
          <w:p>
            <w:pPr>
              <w:spacing w:after="0"/>
            </w:pPr>
            <w:r>
              <w:rPr>
                <w:rFonts w:ascii="Calibri" w:cs="Calibri" w:eastAsia="Calibri" w:hAnsi="Calibri"/>
                <w:b/>
                <w:bCs/>
                <w:color w:val="1E2347"/>
                <w:sz w:val="19"/>
                <w:szCs w:val="19"/>
              </w:rPr>
              <w:t xml:space="preserve">Programme</w:t>
            </w:r>
          </w:p>
        </w:tc>
        <w:tc>
          <w:tcPr>
            <w:tcW w:type="dxa" w:w="6026"/>
            <w:tcMar>
              <w:top w:type="dxa" w:w="60"/>
              <w:left w:type="dxa" w:w="100"/>
              <w:bottom w:type="dxa" w:w="60"/>
              <w:right w:type="dxa" w:w="100"/>
            </w:tcMar>
          </w:tcPr>
          <w:p>
            <w:pPr>
              <w:spacing w:after="0"/>
            </w:pPr>
            <w:r>
              <w:rPr>
                <w:rFonts w:ascii="Calibri" w:cs="Calibri" w:eastAsia="Calibri" w:hAnsi="Calibri"/>
                <w:color w:val="000000"/>
                <w:sz w:val="19"/>
                <w:szCs w:val="19"/>
              </w:rPr>
              <w:t xml:space="preserve">NEXT IMPACT — convention FP2E/NI/IDÉ/2025</w:t>
            </w:r>
          </w:p>
        </w:tc>
      </w:tr>
      <w:tr>
        <w:tc>
          <w:tcPr>
            <w:tcW w:type="dxa" w:w="3000"/>
            <w:shd w:fill="F2EEE7" w:color="auto" w:val="clear"/>
            <w:tcMar>
              <w:top w:type="dxa" w:w="60"/>
              <w:left w:type="dxa" w:w="100"/>
              <w:bottom w:type="dxa" w:w="60"/>
              <w:right w:type="dxa" w:w="100"/>
            </w:tcMar>
          </w:tcPr>
          <w:p>
            <w:pPr>
              <w:spacing w:after="0"/>
            </w:pPr>
            <w:r>
              <w:rPr>
                <w:rFonts w:ascii="Calibri" w:cs="Calibri" w:eastAsia="Calibri" w:hAnsi="Calibri"/>
                <w:b/>
                <w:bCs/>
                <w:color w:val="1E2347"/>
                <w:sz w:val="19"/>
                <w:szCs w:val="19"/>
              </w:rPr>
              <w:t xml:space="preserve">Date</w:t>
            </w:r>
          </w:p>
        </w:tc>
        <w:tc>
          <w:tcPr>
            <w:tcW w:type="dxa" w:w="6026"/>
            <w:tcMar>
              <w:top w:type="dxa" w:w="60"/>
              <w:left w:type="dxa" w:w="100"/>
              <w:bottom w:type="dxa" w:w="60"/>
              <w:right w:type="dxa" w:w="100"/>
            </w:tcMar>
          </w:tcPr>
          <w:p>
            <w:pPr>
              <w:spacing w:after="0"/>
            </w:pPr>
            <w:r>
              <w:rPr>
                <w:rFonts w:ascii="Calibri" w:cs="Calibri" w:eastAsia="Calibri" w:hAnsi="Calibri"/>
                <w:color w:val="000000"/>
                <w:sz w:val="19"/>
                <w:szCs w:val="19"/>
              </w:rPr>
              <w:t xml:space="preserve"> </w:t>
            </w:r>
          </w:p>
        </w:tc>
      </w:tr>
      <w:tr>
        <w:tc>
          <w:tcPr>
            <w:tcW w:type="dxa" w:w="3000"/>
            <w:shd w:fill="F2EEE7" w:color="auto" w:val="clear"/>
            <w:tcMar>
              <w:top w:type="dxa" w:w="60"/>
              <w:left w:type="dxa" w:w="100"/>
              <w:bottom w:type="dxa" w:w="60"/>
              <w:right w:type="dxa" w:w="100"/>
            </w:tcMar>
          </w:tcPr>
          <w:p>
            <w:pPr>
              <w:spacing w:after="0"/>
            </w:pPr>
            <w:r>
              <w:rPr>
                <w:rFonts w:ascii="Calibri" w:cs="Calibri" w:eastAsia="Calibri" w:hAnsi="Calibri"/>
                <w:b/>
                <w:bCs/>
                <w:color w:val="1E2347"/>
                <w:sz w:val="19"/>
                <w:szCs w:val="19"/>
              </w:rPr>
              <w:t xml:space="preserve">Signature</w:t>
            </w:r>
          </w:p>
        </w:tc>
        <w:tc>
          <w:tcPr>
            <w:tcW w:type="dxa" w:w="6026"/>
            <w:tcMar>
              <w:top w:type="dxa" w:w="60"/>
              <w:left w:type="dxa" w:w="100"/>
              <w:bottom w:type="dxa" w:w="60"/>
              <w:right w:type="dxa" w:w="100"/>
            </w:tcMar>
          </w:tcPr>
          <w:p>
            <w:pPr>
              <w:spacing w:after="0"/>
            </w:pPr>
            <w:r>
              <w:rPr>
                <w:rFonts w:ascii="Calibri" w:cs="Calibri" w:eastAsia="Calibri" w:hAnsi="Calibri"/>
                <w:color w:val="000000"/>
                <w:sz w:val="19"/>
                <w:szCs w:val="19"/>
              </w:rPr>
              <w:t xml:space="preserve"> </w:t>
            </w:r>
          </w:p>
        </w:tc>
      </w:tr>
    </w:tbl>
    <w:p>
      <w:pPr>
        <w:spacing w:after="200"/>
      </w:pPr>
      <w:r>
        <w:rPr>
          <w:rFonts w:ascii="Calibri" w:cs="Calibri" w:eastAsia="Calibri" w:hAnsi="Calibri"/>
          <w:color w:val="000000"/>
          <w:sz w:val="21"/>
          <w:szCs w:val="21"/>
        </w:rPr>
        <w:t xml:space="preserve"> </w:t>
      </w:r>
    </w:p>
    <w:p>
      <w:pPr>
        <w:spacing w:after="120"/>
      </w:pPr>
      <w:r>
        <w:rPr>
          <w:rFonts w:ascii="Calibri" w:cs="Calibri" w:eastAsia="Calibri" w:hAnsi="Calibri"/>
          <w:i/>
          <w:iCs/>
          <w:color w:val="6B6155"/>
          <w:sz w:val="19"/>
          <w:szCs w:val="19"/>
        </w:rPr>
        <w:t xml:space="preserve">Pièces de référence conservées au dépôt : rapport d’audit fonctionnel détaillé, registre des décisions de validation clinique, procédure de mise en service, et historique complet des demandes d’intégration.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155"/>
        <w:sz w:val="16"/>
        <w:szCs w:val="16"/>
      </w:rPr>
      <w:t xml:space="preserve">Conforme audit — Confidentiel   ·   Convention FP2E/NI/IDÉ/2025   ·   page </w:t>
    </w:r>
    <w:r>
      <w:rPr>
        <w:rFonts w:ascii="Calibri" w:cs="Calibri" w:eastAsia="Calibri" w:hAnsi="Calibri"/>
        <w:color w:val="6B6155"/>
        <w:sz w:val="16"/>
        <w:szCs w:val="16"/>
      </w:rPr>
      <w:fldChar w:fldCharType="begin"/>
      <w:instrText xml:space="preserve">PAGE</w:instrText>
      <w:fldChar w:fldCharType="separate"/>
      <w:fldChar w:fldCharType="end"/>
    </w:r>
    <w:r>
      <w:rPr>
        <w:rFonts w:ascii="Calibri" w:cs="Calibri" w:eastAsia="Calibri" w:hAnsi="Calibri"/>
        <w:color w:val="6B6155"/>
        <w:sz w:val="16"/>
        <w:szCs w:val="16"/>
      </w:rPr>
      <w:t xml:space="preserve"> / </w:t>
    </w:r>
    <w:r>
      <w:rPr>
        <w:rFonts w:ascii="Calibri" w:cs="Calibri" w:eastAsia="Calibri" w:hAnsi="Calibri"/>
        <w:color w:val="6B61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6155"/>
        <w:sz w:val="16"/>
        <w:szCs w:val="16"/>
      </w:rPr>
      <w:t xml:space="preserve">DigiSanté Mobile — Rapport de chantier — NEXT IMPACT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chantier — NEXT IMPACT</dc:title>
  <dc:creator>DigiSanté Mobile</dc:creator>
  <dc:description>Audit fonctionnel et correction des écarts, période du 18 au 19 août 2026.</dc:description>
  <cp:lastModifiedBy>Un-named</cp:lastModifiedBy>
  <cp:revision>1</cp:revision>
  <dcterms:created xsi:type="dcterms:W3CDTF">2026-08-19T08:08:22.871Z</dcterms:created>
  <dcterms:modified xsi:type="dcterms:W3CDTF">2026-08-19T08:08:22.871Z</dcterms:modified>
</cp:coreProperties>
</file>

<file path=docProps/custom.xml><?xml version="1.0" encoding="utf-8"?>
<Properties xmlns="http://schemas.openxmlformats.org/officeDocument/2006/custom-properties" xmlns:vt="http://schemas.openxmlformats.org/officeDocument/2006/docPropsVTypes"/>
</file>