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874A40">
      <w:pPr>
        <w:spacing w:line="480" w:lineRule="auto"/>
        <w:jc w:val="center"/>
        <w:rPr>
          <w:rFonts w:ascii="Times New Roman" w:hAnsi="Times New Roman" w:cs="Times New Roman"/>
        </w:rPr>
      </w:pPr>
    </w:p>
    <w:p w14:paraId="2E3A9640" w14:textId="77777777" w:rsidR="00874A40" w:rsidRDefault="00874A40" w:rsidP="00874A40">
      <w:pPr>
        <w:spacing w:line="480" w:lineRule="auto"/>
        <w:jc w:val="center"/>
        <w:rPr>
          <w:rFonts w:ascii="Times New Roman" w:hAnsi="Times New Roman" w:cs="Times New Roman"/>
        </w:rPr>
      </w:pPr>
    </w:p>
    <w:p w14:paraId="3AD85844" w14:textId="77777777" w:rsidR="00874A40" w:rsidRDefault="00874A40" w:rsidP="00874A40">
      <w:pPr>
        <w:spacing w:line="480" w:lineRule="auto"/>
        <w:jc w:val="center"/>
        <w:rPr>
          <w:rFonts w:ascii="Times New Roman" w:hAnsi="Times New Roman" w:cs="Times New Roman"/>
        </w:rPr>
      </w:pPr>
    </w:p>
    <w:p w14:paraId="707E5AF0" w14:textId="77777777" w:rsidR="00874A40" w:rsidRDefault="00874A40" w:rsidP="00874A40">
      <w:pPr>
        <w:spacing w:line="480" w:lineRule="auto"/>
        <w:jc w:val="center"/>
        <w:rPr>
          <w:rFonts w:ascii="Times New Roman" w:hAnsi="Times New Roman" w:cs="Times New Roman"/>
        </w:rPr>
      </w:pPr>
    </w:p>
    <w:p w14:paraId="7DC1067D" w14:textId="77777777" w:rsidR="00874A40" w:rsidRDefault="00874A40" w:rsidP="00874A40">
      <w:pPr>
        <w:spacing w:line="480" w:lineRule="auto"/>
        <w:jc w:val="center"/>
        <w:rPr>
          <w:rFonts w:ascii="Times New Roman" w:hAnsi="Times New Roman" w:cs="Times New Roman"/>
        </w:rPr>
      </w:pPr>
    </w:p>
    <w:p w14:paraId="1E8AB3E3" w14:textId="78BFAD50" w:rsidR="00927A11" w:rsidRDefault="00927A11" w:rsidP="00477C7E">
      <w:pPr>
        <w:spacing w:line="480" w:lineRule="auto"/>
        <w:jc w:val="center"/>
        <w:rPr>
          <w:rFonts w:ascii="Times New Roman" w:hAnsi="Times New Roman" w:cs="Times New Roman"/>
          <w:b/>
          <w:bCs/>
        </w:rPr>
      </w:pPr>
      <w:r w:rsidRPr="00927A11">
        <w:rPr>
          <w:rFonts w:ascii="Times New Roman" w:hAnsi="Times New Roman" w:cs="Times New Roman"/>
          <w:b/>
          <w:bCs/>
        </w:rPr>
        <w:t>Exploring, Measuring, and Optimizing Reasoning in Large Language Models: A Comparison of Data Science Research Designs</w:t>
      </w:r>
    </w:p>
    <w:p w14:paraId="7DC0E8E8" w14:textId="65298FEB" w:rsidR="00874A40" w:rsidRDefault="00874A40" w:rsidP="00874A40">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6B707B59" w14:textId="63382777" w:rsidR="00874A40" w:rsidRDefault="00874A40" w:rsidP="00874A40">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7A7ABA67" w14:textId="6573D172" w:rsidR="00874A40" w:rsidRDefault="00874A40" w:rsidP="00874A40">
      <w:pPr>
        <w:spacing w:line="480" w:lineRule="auto"/>
        <w:jc w:val="center"/>
        <w:rPr>
          <w:rFonts w:ascii="Times New Roman" w:hAnsi="Times New Roman" w:cs="Times New Roman"/>
        </w:rPr>
      </w:pPr>
      <w:r>
        <w:rPr>
          <w:rFonts w:ascii="Times New Roman" w:hAnsi="Times New Roman" w:cs="Times New Roman"/>
        </w:rPr>
        <w:t>Course Code: Name</w:t>
      </w:r>
    </w:p>
    <w:p w14:paraId="0110BFBE" w14:textId="32E45E51" w:rsidR="00874A40" w:rsidRDefault="00874A40" w:rsidP="00874A40">
      <w:pPr>
        <w:spacing w:line="480" w:lineRule="auto"/>
        <w:jc w:val="center"/>
        <w:rPr>
          <w:rFonts w:ascii="Times New Roman" w:hAnsi="Times New Roman" w:cs="Times New Roman"/>
        </w:rPr>
      </w:pPr>
      <w:r>
        <w:rPr>
          <w:rFonts w:ascii="Times New Roman" w:hAnsi="Times New Roman" w:cs="Times New Roman"/>
        </w:rPr>
        <w:t>Professor Name</w:t>
      </w:r>
    </w:p>
    <w:p w14:paraId="56FCF570" w14:textId="034C1C00" w:rsidR="00874A40" w:rsidRDefault="00874A40" w:rsidP="00874A40">
      <w:pPr>
        <w:spacing w:line="480" w:lineRule="auto"/>
        <w:jc w:val="center"/>
        <w:rPr>
          <w:rFonts w:ascii="Times New Roman" w:hAnsi="Times New Roman" w:cs="Times New Roman"/>
        </w:rPr>
      </w:pPr>
      <w:r>
        <w:rPr>
          <w:rFonts w:ascii="Times New Roman" w:hAnsi="Times New Roman" w:cs="Times New Roman"/>
        </w:rPr>
        <w:t>Date</w:t>
      </w:r>
    </w:p>
    <w:p w14:paraId="19DAE70C" w14:textId="77777777" w:rsidR="00874A40" w:rsidRDefault="00874A40">
      <w:pPr>
        <w:rPr>
          <w:rFonts w:ascii="Times New Roman" w:hAnsi="Times New Roman" w:cs="Times New Roman"/>
        </w:rPr>
      </w:pPr>
      <w:r>
        <w:rPr>
          <w:rFonts w:ascii="Times New Roman" w:hAnsi="Times New Roman" w:cs="Times New Roman"/>
        </w:rPr>
        <w:br w:type="page"/>
      </w:r>
    </w:p>
    <w:p w14:paraId="4B4075DA" w14:textId="77777777" w:rsidR="00ED2244" w:rsidRDefault="00ED2244" w:rsidP="00ED2244">
      <w:pPr>
        <w:spacing w:line="480" w:lineRule="auto"/>
        <w:rPr>
          <w:rFonts w:ascii="Times New Roman" w:hAnsi="Times New Roman" w:cs="Times New Roman"/>
          <w:b/>
          <w:bCs/>
        </w:rPr>
      </w:pPr>
      <w:r w:rsidRPr="00ED2244">
        <w:rPr>
          <w:rFonts w:ascii="Times New Roman" w:hAnsi="Times New Roman" w:cs="Times New Roman"/>
          <w:b/>
          <w:bCs/>
        </w:rPr>
        <w:lastRenderedPageBreak/>
        <w:t xml:space="preserve">Exploring, Measuring, and Optimizing Reasoning in Large Language Models: A Comparison of Data Science Research Designs </w:t>
      </w:r>
    </w:p>
    <w:p w14:paraId="4ECCFE31"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Data science research designs are not interchangeable templates; they are methodological tools suited to different stages of inquiry and different types of research problems. This distinction is especially important in artificial intelligence research, where a single system may be studied as a reasoning mechanism, a decision-support tool, or an applied engineering component embedded in real-world workflows. In practice, research often progresses through a sequence: clarifying what a system is doing, determining how reliable its outputs are, and evaluating performance under application constraints. Selecting an appropriate research design depends on where a problem falls within this progression and on what kind of knowledge can reasonably be produced at that stage. [CITE-MED: research design across stages; research lifecycle in data science]</w:t>
      </w:r>
    </w:p>
    <w:p w14:paraId="29406B5A"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This paper compares three data science research studies to illustrate how exploratory and quantitative research designs contribute distinct but complementary forms of understanding about AI systems. The studies analyzed include </w:t>
      </w:r>
      <w:r w:rsidRPr="00E12E9F">
        <w:rPr>
          <w:rFonts w:ascii="Times New Roman" w:hAnsi="Times New Roman" w:cs="Times New Roman"/>
          <w:b/>
          <w:bCs/>
          <w:i/>
          <w:iCs/>
        </w:rPr>
        <w:t>Atomic Thinking of LLMs: Decoupling and Exploring Mathematical Reasoning Abilities</w:t>
      </w:r>
      <w:r w:rsidRPr="00E12E9F">
        <w:rPr>
          <w:rFonts w:ascii="Times New Roman" w:hAnsi="Times New Roman" w:cs="Times New Roman"/>
          <w:b/>
          <w:bCs/>
        </w:rPr>
        <w:t xml:space="preserve"> (Kuang et al., 2025), </w:t>
      </w:r>
      <w:r w:rsidRPr="00E12E9F">
        <w:rPr>
          <w:rFonts w:ascii="Times New Roman" w:hAnsi="Times New Roman" w:cs="Times New Roman"/>
          <w:b/>
          <w:bCs/>
          <w:i/>
          <w:iCs/>
        </w:rPr>
        <w:t>Optimizing Chain-of-Thought Confidence via Topological and Dirichlet Risk Analysis</w:t>
      </w:r>
      <w:r w:rsidRPr="00E12E9F">
        <w:rPr>
          <w:rFonts w:ascii="Times New Roman" w:hAnsi="Times New Roman" w:cs="Times New Roman"/>
          <w:b/>
          <w:bCs/>
        </w:rPr>
        <w:t xml:space="preserve"> (More et al., 2025), and </w:t>
      </w:r>
      <w:r w:rsidRPr="00E12E9F">
        <w:rPr>
          <w:rFonts w:ascii="Times New Roman" w:hAnsi="Times New Roman" w:cs="Times New Roman"/>
          <w:b/>
          <w:bCs/>
          <w:i/>
          <w:iCs/>
        </w:rPr>
        <w:t>Data-Driven AI for Topology Optimization: A Comparative Study of CNN and Self-Attention Enhanced Architectures in Data-Constrained Scenarios</w:t>
      </w:r>
      <w:r w:rsidRPr="00E12E9F">
        <w:rPr>
          <w:rFonts w:ascii="Times New Roman" w:hAnsi="Times New Roman" w:cs="Times New Roman"/>
          <w:b/>
          <w:bCs/>
        </w:rPr>
        <w:t xml:space="preserve"> (Jing &amp; Guo, 2024). Although these studies address different application domains, they form a coherent narrative arc: the first explores what reasoning in large language models consists of, the second measures how much that reasoning can be trusted, and the third demonstrates how quantitative evaluation operates in an applied optimization setting.</w:t>
      </w:r>
    </w:p>
    <w:p w14:paraId="27633576"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lastRenderedPageBreak/>
        <w:t xml:space="preserve">By comparing the research problems, questions, hypotheses, and ethical considerations across these studies, this paper shows how research design evolves as AI systems move from understanding, to </w:t>
      </w:r>
      <w:proofErr w:type="gramStart"/>
      <w:r w:rsidRPr="00E12E9F">
        <w:rPr>
          <w:rFonts w:ascii="Times New Roman" w:hAnsi="Times New Roman" w:cs="Times New Roman"/>
          <w:b/>
          <w:bCs/>
        </w:rPr>
        <w:t>trust,</w:t>
      </w:r>
      <w:proofErr w:type="gramEnd"/>
      <w:r w:rsidRPr="00E12E9F">
        <w:rPr>
          <w:rFonts w:ascii="Times New Roman" w:hAnsi="Times New Roman" w:cs="Times New Roman"/>
          <w:b/>
          <w:bCs/>
        </w:rPr>
        <w:t xml:space="preserve"> to deployment. Rather than treating research designs as competing methodologies, the analysis frames them as interconnected stages within a broader data science research lifecycle. [CITE-MED: methodological pluralism in applied research; staging from exploratory to evaluative research]</w:t>
      </w:r>
    </w:p>
    <w:p w14:paraId="3130508D" w14:textId="5DC90659" w:rsidR="00E12E9F" w:rsidRPr="00E12E9F" w:rsidRDefault="00E12E9F" w:rsidP="00141F7A">
      <w:pPr>
        <w:spacing w:line="480" w:lineRule="auto"/>
        <w:rPr>
          <w:rFonts w:ascii="Times New Roman" w:hAnsi="Times New Roman" w:cs="Times New Roman"/>
          <w:b/>
          <w:bCs/>
        </w:rPr>
      </w:pPr>
      <w:r w:rsidRPr="00E12E9F">
        <w:rPr>
          <w:rFonts w:ascii="Times New Roman" w:hAnsi="Times New Roman" w:cs="Times New Roman"/>
          <w:b/>
          <w:bCs/>
        </w:rPr>
        <w:t>Research Problems Across the Three Studies</w:t>
      </w:r>
    </w:p>
    <w:p w14:paraId="258EFF13"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The research problem addressed in the Atomic Thinking study is the limited explanatory value of prevailing evaluations of large language model reasoning. Much of the existing work relies on end-to-end benchmark accuracy, which indicates whether a model can produce correct answers but provides little insight into how reasoning succeeds or fails. [CITE-MED: critique of benchmark accuracy as sufficient evaluation] Without decomposing reasoning into interpretable components, it remains difficult to assess reliability, diagnose domain-specific weaknesses, or understand why performance varies across tasks and difficulty levels. The problem is therefore one of interpretability and diagnostic clarity rather than raw computational capability.</w:t>
      </w:r>
    </w:p>
    <w:p w14:paraId="79DC4B2C"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The research problem examined in the EDTR confidence calibration study shifts attention from understanding reasoning structure to managing the risks associated with its use. As chain-of-thought prompting has become widespread, models increasingly produce outputs that appear coherent and persuasive regardless of correctness. [CITE-MED: chain-of-thought prompting and overconfidence/faithfulness issues] The central concern is the misalignment between a model’s expressed confidence and its actual accuracy, particularly in decision-support contexts where users may act on model outputs. The study addresses </w:t>
      </w:r>
      <w:r w:rsidRPr="00E12E9F">
        <w:rPr>
          <w:rFonts w:ascii="Times New Roman" w:hAnsi="Times New Roman" w:cs="Times New Roman"/>
          <w:b/>
          <w:bCs/>
        </w:rPr>
        <w:lastRenderedPageBreak/>
        <w:t>whether uncertainty can be quantified and calibrated in a way that supports safer interpretation and deployment of LLM-generated reasoning.</w:t>
      </w:r>
    </w:p>
    <w:p w14:paraId="133CDDEF"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The research problem in the topology optimization study arises in an applied engineering context where computational cost, predictive accuracy, and data availability are primary constraints. Traditional gradient-based optimization methods are computationally intensive, while data-driven approaches often require large training datasets that are impractical in real-world design scenarios. [CITE-MED: computational cost of topology optimization; data constraints in engineering ML] The study investigates whether neural network models can approximate topology optimization solutions under data-constrained conditions and whether architectural enhancements such as self-attention yield meaningful performance improvements.</w:t>
      </w:r>
    </w:p>
    <w:p w14:paraId="211AD28C" w14:textId="77777777" w:rsidR="00E12E9F" w:rsidRPr="00E12E9F" w:rsidRDefault="00E12E9F" w:rsidP="00E12E9F">
      <w:pPr>
        <w:spacing w:line="480" w:lineRule="auto"/>
        <w:ind w:firstLine="720"/>
        <w:rPr>
          <w:rFonts w:ascii="Times New Roman" w:hAnsi="Times New Roman" w:cs="Times New Roman"/>
          <w:b/>
          <w:bCs/>
        </w:rPr>
      </w:pPr>
      <w:proofErr w:type="gramStart"/>
      <w:r w:rsidRPr="00E12E9F">
        <w:rPr>
          <w:rFonts w:ascii="Times New Roman" w:hAnsi="Times New Roman" w:cs="Times New Roman"/>
          <w:b/>
          <w:bCs/>
        </w:rPr>
        <w:t>Taken</w:t>
      </w:r>
      <w:proofErr w:type="gramEnd"/>
      <w:r w:rsidRPr="00E12E9F">
        <w:rPr>
          <w:rFonts w:ascii="Times New Roman" w:hAnsi="Times New Roman" w:cs="Times New Roman"/>
          <w:b/>
          <w:bCs/>
        </w:rPr>
        <w:t xml:space="preserve"> together, these problems reflect different stages of inquiry: defining what reasoning consists of, determining how much it can be trusted, and evaluating performance under real-world constraints. [CITE-LOW: staging of research inquiry; conceptual-to-applied progression]</w:t>
      </w:r>
    </w:p>
    <w:p w14:paraId="72258BAD" w14:textId="5179290F" w:rsidR="00E12E9F" w:rsidRPr="00E12E9F" w:rsidRDefault="00E12E9F" w:rsidP="00141F7A">
      <w:pPr>
        <w:spacing w:line="480" w:lineRule="auto"/>
        <w:rPr>
          <w:rFonts w:ascii="Times New Roman" w:hAnsi="Times New Roman" w:cs="Times New Roman"/>
          <w:b/>
          <w:bCs/>
        </w:rPr>
      </w:pPr>
      <w:r w:rsidRPr="00E12E9F">
        <w:rPr>
          <w:rFonts w:ascii="Times New Roman" w:hAnsi="Times New Roman" w:cs="Times New Roman"/>
          <w:b/>
          <w:bCs/>
        </w:rPr>
        <w:t>Article Analyses</w:t>
      </w:r>
    </w:p>
    <w:p w14:paraId="256C544D" w14:textId="77777777" w:rsidR="00E12E9F" w:rsidRPr="00E12E9F" w:rsidRDefault="00E12E9F" w:rsidP="00141F7A">
      <w:pPr>
        <w:spacing w:line="480" w:lineRule="auto"/>
        <w:rPr>
          <w:rFonts w:ascii="Times New Roman" w:hAnsi="Times New Roman" w:cs="Times New Roman"/>
          <w:b/>
          <w:bCs/>
        </w:rPr>
      </w:pPr>
      <w:r w:rsidRPr="00E12E9F">
        <w:rPr>
          <w:rFonts w:ascii="Times New Roman" w:hAnsi="Times New Roman" w:cs="Times New Roman"/>
          <w:b/>
          <w:bCs/>
        </w:rPr>
        <w:t>Article 1: Atomic Thinking of LLMs</w:t>
      </w:r>
    </w:p>
    <w:p w14:paraId="47EAC98A" w14:textId="77777777" w:rsidR="00E12E9F" w:rsidRPr="00E12E9F" w:rsidRDefault="00E12E9F" w:rsidP="00141F7A">
      <w:pPr>
        <w:spacing w:line="480" w:lineRule="auto"/>
        <w:rPr>
          <w:rFonts w:ascii="Times New Roman" w:hAnsi="Times New Roman" w:cs="Times New Roman"/>
          <w:b/>
          <w:bCs/>
        </w:rPr>
      </w:pPr>
      <w:r w:rsidRPr="00E12E9F">
        <w:rPr>
          <w:rFonts w:ascii="Times New Roman" w:hAnsi="Times New Roman" w:cs="Times New Roman"/>
          <w:b/>
          <w:bCs/>
        </w:rPr>
        <w:t>Research Design and Justification</w:t>
      </w:r>
    </w:p>
    <w:p w14:paraId="15429C7C" w14:textId="0B7ABC05"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The Atomic Thinking study uses an exploratory and constructive research design because its goal is not to validate a known causal relationship or optimize a predefined performance target, but to clarify what “reasoning” in LLMs should mean in the first place. In this setting, the fundamental challenge is that benchmark accuracy functions as </w:t>
      </w:r>
      <w:r w:rsidRPr="00E12E9F">
        <w:rPr>
          <w:rFonts w:ascii="Times New Roman" w:hAnsi="Times New Roman" w:cs="Times New Roman"/>
          <w:b/>
          <w:bCs/>
        </w:rPr>
        <w:lastRenderedPageBreak/>
        <w:t>an outcome metric without explaining what cognitive operations produced it. [CITE-MED: limitations of performance-only evaluation for reasoning claims] When a research domain lacks stable definitions of its key constructs</w:t>
      </w:r>
      <w:r w:rsidR="00AB4AFA">
        <w:rPr>
          <w:rFonts w:ascii="Times New Roman" w:hAnsi="Times New Roman" w:cs="Times New Roman"/>
          <w:b/>
          <w:bCs/>
        </w:rPr>
        <w:t xml:space="preserve">, </w:t>
      </w:r>
      <w:r w:rsidRPr="00E12E9F">
        <w:rPr>
          <w:rFonts w:ascii="Times New Roman" w:hAnsi="Times New Roman" w:cs="Times New Roman"/>
          <w:b/>
          <w:bCs/>
        </w:rPr>
        <w:t>in this case, whether “reasoning” is a single capability or a composition of smaller skills</w:t>
      </w:r>
      <w:r w:rsidR="00AB4AFA">
        <w:rPr>
          <w:rFonts w:ascii="Times New Roman" w:hAnsi="Times New Roman" w:cs="Times New Roman"/>
          <w:b/>
          <w:bCs/>
        </w:rPr>
        <w:t xml:space="preserve">, </w:t>
      </w:r>
      <w:r w:rsidRPr="00E12E9F">
        <w:rPr>
          <w:rFonts w:ascii="Times New Roman" w:hAnsi="Times New Roman" w:cs="Times New Roman"/>
          <w:b/>
          <w:bCs/>
        </w:rPr>
        <w:t>an exploratory design becomes the tool for structuring the space rather than testing claims inside it</w:t>
      </w:r>
      <w:r w:rsidR="00BC1D78">
        <w:rPr>
          <w:rFonts w:ascii="Times New Roman" w:hAnsi="Times New Roman" w:cs="Times New Roman"/>
          <w:b/>
          <w:bCs/>
        </w:rPr>
        <w:t xml:space="preserve"> </w:t>
      </w:r>
      <w:r w:rsidR="00BC1D78" w:rsidRPr="00BC1D78">
        <w:rPr>
          <w:rFonts w:ascii="Times New Roman" w:hAnsi="Times New Roman" w:cs="Times New Roman"/>
          <w:b/>
          <w:bCs/>
        </w:rPr>
        <w:t>(Byrne, 2017)</w:t>
      </w:r>
      <w:r w:rsidRPr="00E12E9F">
        <w:rPr>
          <w:rFonts w:ascii="Times New Roman" w:hAnsi="Times New Roman" w:cs="Times New Roman"/>
          <w:b/>
          <w:bCs/>
        </w:rPr>
        <w:t>.</w:t>
      </w:r>
    </w:p>
    <w:p w14:paraId="377A035C"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What makes this design constructive is that it does more than describe model performance; it builds a framework that decomposes reasoning into atomic components and uses that framework to diagnose strengths and gaps across domains. This is a meaningful research contribution because it changes what can be asked next. However, the design also limits the epistemic status of its findings: the results map patterns and failure modes, but they do not settle questions of generalization, statistical robustness, or causal mechanism. In other words, the study is strongest as a foundation-setting effort and weaker as a confirmatory one—an issue that later quantitative work can address. [CITE-MED: limits of exploratory findings; need for confirmatory follow-up]</w:t>
      </w:r>
    </w:p>
    <w:p w14:paraId="5EDFB0BE" w14:textId="77777777" w:rsidR="00E12E9F" w:rsidRPr="00E12E9F" w:rsidRDefault="00E12E9F" w:rsidP="00141F7A">
      <w:pPr>
        <w:spacing w:line="480" w:lineRule="auto"/>
        <w:rPr>
          <w:rFonts w:ascii="Times New Roman" w:hAnsi="Times New Roman" w:cs="Times New Roman"/>
          <w:b/>
          <w:bCs/>
        </w:rPr>
      </w:pPr>
      <w:r w:rsidRPr="00E12E9F">
        <w:rPr>
          <w:rFonts w:ascii="Times New Roman" w:hAnsi="Times New Roman" w:cs="Times New Roman"/>
          <w:b/>
          <w:bCs/>
        </w:rPr>
        <w:t>Research Questions</w:t>
      </w:r>
    </w:p>
    <w:p w14:paraId="468C5E70"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The study does not present a list of enumerated research questions in the conventional sense. Instead, it centers on a broad constructive inquiry that gives rise to several emergent sub-questions.</w:t>
      </w:r>
    </w:p>
    <w:p w14:paraId="120FBA5E"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Primary RQ (Constructive / Exploratory):</w:t>
      </w:r>
      <w:r w:rsidRPr="00E12E9F">
        <w:rPr>
          <w:rFonts w:ascii="Times New Roman" w:hAnsi="Times New Roman" w:cs="Times New Roman"/>
          <w:b/>
          <w:bCs/>
        </w:rPr>
        <w:br/>
        <w:t>What constitutes mathematical reasoning in large language models, and how can it be decomposed into interpretable atomic components?</w:t>
      </w:r>
    </w:p>
    <w:p w14:paraId="006D6D29"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lastRenderedPageBreak/>
        <w:t>From this central question, exploratory sub-questions emerge during analysis, such as how different atomic capabilities interact and where systematic reasoning gaps appear as task difficulty increases. The open-ended structure of these questions reflects the study’s exploratory orientation.</w:t>
      </w:r>
    </w:p>
    <w:p w14:paraId="01017C8A" w14:textId="77777777"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Hypotheses</w:t>
      </w:r>
    </w:p>
    <w:p w14:paraId="508660AC" w14:textId="781C3B48" w:rsidR="00E12E9F" w:rsidRPr="00E12E9F" w:rsidRDefault="00E12E9F" w:rsidP="001B5E1B">
      <w:pPr>
        <w:spacing w:line="480" w:lineRule="auto"/>
        <w:ind w:firstLine="720"/>
        <w:rPr>
          <w:rFonts w:ascii="Times New Roman" w:hAnsi="Times New Roman" w:cs="Times New Roman"/>
          <w:b/>
          <w:bCs/>
        </w:rPr>
      </w:pPr>
      <w:r w:rsidRPr="00E12E9F">
        <w:rPr>
          <w:rFonts w:ascii="Times New Roman" w:hAnsi="Times New Roman" w:cs="Times New Roman"/>
          <w:b/>
          <w:bCs/>
        </w:rPr>
        <w:t xml:space="preserve">The study does not articulate formal </w:t>
      </w:r>
      <w:proofErr w:type="gramStart"/>
      <w:r w:rsidRPr="00E12E9F">
        <w:rPr>
          <w:rFonts w:ascii="Times New Roman" w:hAnsi="Times New Roman" w:cs="Times New Roman"/>
          <w:b/>
          <w:bCs/>
        </w:rPr>
        <w:t>null</w:t>
      </w:r>
      <w:proofErr w:type="gramEnd"/>
      <w:r w:rsidRPr="00E12E9F">
        <w:rPr>
          <w:rFonts w:ascii="Times New Roman" w:hAnsi="Times New Roman" w:cs="Times New Roman"/>
          <w:b/>
          <w:bCs/>
        </w:rPr>
        <w:t xml:space="preserve"> or alternative hypotheses. This absence is analytically significant. Without predefined variables or relationships, hypothesis testing would be premature. The lack of hypotheses enables conceptual discovery but constrains the ability to test robustness or generalizability. As a result, the study’s findings are best interpreted as diagnostic rather than confirmatory, generating candidate explanations for future quantitative investigation</w:t>
      </w:r>
      <w:r w:rsidR="001B5E1B">
        <w:rPr>
          <w:rFonts w:ascii="Times New Roman" w:hAnsi="Times New Roman" w:cs="Times New Roman"/>
          <w:b/>
          <w:bCs/>
        </w:rPr>
        <w:t xml:space="preserve"> </w:t>
      </w:r>
      <w:r w:rsidR="001B5E1B" w:rsidRPr="001B5E1B">
        <w:rPr>
          <w:rFonts w:ascii="Times New Roman" w:hAnsi="Times New Roman" w:cs="Times New Roman"/>
          <w:b/>
          <w:bCs/>
        </w:rPr>
        <w:t>(Shedden, 2022</w:t>
      </w:r>
      <w:r w:rsidR="001B5E1B">
        <w:rPr>
          <w:rFonts w:ascii="Times New Roman" w:hAnsi="Times New Roman" w:cs="Times New Roman"/>
          <w:b/>
          <w:bCs/>
        </w:rPr>
        <w:t>)</w:t>
      </w:r>
      <w:r w:rsidRPr="00E12E9F">
        <w:rPr>
          <w:rFonts w:ascii="Times New Roman" w:hAnsi="Times New Roman" w:cs="Times New Roman"/>
          <w:b/>
          <w:bCs/>
        </w:rPr>
        <w:t>.</w:t>
      </w:r>
    </w:p>
    <w:p w14:paraId="4E377DD0"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Sector/field context. The Atomic Thinking study sits primarily in the sector of AI research and model evaluation, specifically LLM reasoning assessment using benchmark-style tasks and synthetic or curated datasets. Because the data is not drawn from human subjects, it does not immediately trigger the same legal obligations as healthcare, education, or employment datasets would.</w:t>
      </w:r>
    </w:p>
    <w:p w14:paraId="41E2761F" w14:textId="358CA583"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Ethical issues and relevant laws/policies. The ethical center of gravity here is not individual privacy, but epistemic responsibility: what it means to claim that a model “reasons,” and how those claims might influence adoption in high-stakes contexts</w:t>
      </w:r>
      <w:r w:rsidR="00021DA7">
        <w:rPr>
          <w:rFonts w:ascii="Times New Roman" w:hAnsi="Times New Roman" w:cs="Times New Roman"/>
          <w:b/>
          <w:bCs/>
        </w:rPr>
        <w:t xml:space="preserve"> </w:t>
      </w:r>
      <w:r w:rsidR="00021DA7" w:rsidRPr="00021DA7">
        <w:rPr>
          <w:rFonts w:ascii="Times New Roman" w:hAnsi="Times New Roman" w:cs="Times New Roman"/>
          <w:b/>
          <w:bCs/>
        </w:rPr>
        <w:t>(Wing, 2020)</w:t>
      </w:r>
      <w:r w:rsidRPr="00E12E9F">
        <w:rPr>
          <w:rFonts w:ascii="Times New Roman" w:hAnsi="Times New Roman" w:cs="Times New Roman"/>
          <w:b/>
          <w:bCs/>
        </w:rPr>
        <w:t>.</w:t>
      </w:r>
      <w:r w:rsidR="00536EBE">
        <w:rPr>
          <w:rFonts w:ascii="Times New Roman" w:hAnsi="Times New Roman" w:cs="Times New Roman"/>
          <w:b/>
          <w:bCs/>
        </w:rPr>
        <w:t xml:space="preserve"> </w:t>
      </w:r>
      <w:r w:rsidRPr="00E12E9F">
        <w:rPr>
          <w:rFonts w:ascii="Times New Roman" w:hAnsi="Times New Roman" w:cs="Times New Roman"/>
          <w:b/>
          <w:bCs/>
        </w:rPr>
        <w:t xml:space="preserve">In that sense, the most relevant governance frameworks are those aimed at trustworthy AI and risk management rather than privacy compliance alone. For example, the NIST AI Risk Management Framework (AI RMF) emphasizes trustworthiness and risk </w:t>
      </w:r>
      <w:r w:rsidRPr="00E12E9F">
        <w:rPr>
          <w:rFonts w:ascii="Times New Roman" w:hAnsi="Times New Roman" w:cs="Times New Roman"/>
          <w:b/>
          <w:bCs/>
        </w:rPr>
        <w:lastRenderedPageBreak/>
        <w:t>management across the AI lifecycle, including evaluation and documentation practices. [CITE-HIGH: NIST AI RMF] The EU AI Act establishes obligations for high-risk AI systems and reflects a regulatory stance that AI risk is not only about data protection but about fundamental rights and system impacts. [CITE-HIGH: EU AI Act text] Even though this study is not deploying a high-risk system, it informs the type of evaluation and interpretability work that becomes necessary when systems move toward regulated deployment.</w:t>
      </w:r>
    </w:p>
    <w:p w14:paraId="27DA49C5" w14:textId="14688B24"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In short, the legal sensitivity here is low, but the ethical risk is real: if reasoning is overstated, systems can be deployed with a false sense of safety</w:t>
      </w:r>
      <w:r w:rsidR="00B32AFE">
        <w:rPr>
          <w:rFonts w:ascii="Times New Roman" w:hAnsi="Times New Roman" w:cs="Times New Roman"/>
          <w:b/>
          <w:bCs/>
        </w:rPr>
        <w:t xml:space="preserve"> </w:t>
      </w:r>
      <w:r w:rsidR="00B32AFE" w:rsidRPr="00B32AFE">
        <w:rPr>
          <w:rFonts w:ascii="Times New Roman" w:hAnsi="Times New Roman" w:cs="Times New Roman"/>
          <w:b/>
          <w:bCs/>
        </w:rPr>
        <w:t>(Siegel, 2016)</w:t>
      </w:r>
      <w:r w:rsidRPr="00E12E9F">
        <w:rPr>
          <w:rFonts w:ascii="Times New Roman" w:hAnsi="Times New Roman" w:cs="Times New Roman"/>
          <w:b/>
          <w:bCs/>
        </w:rPr>
        <w:t xml:space="preserve">. </w:t>
      </w:r>
      <w:r w:rsidR="00B32AFE">
        <w:rPr>
          <w:rFonts w:ascii="Times New Roman" w:hAnsi="Times New Roman" w:cs="Times New Roman"/>
          <w:b/>
          <w:bCs/>
        </w:rPr>
        <w:t xml:space="preserve"> </w:t>
      </w:r>
      <w:r w:rsidRPr="00E12E9F">
        <w:rPr>
          <w:rFonts w:ascii="Times New Roman" w:hAnsi="Times New Roman" w:cs="Times New Roman"/>
          <w:b/>
          <w:bCs/>
        </w:rPr>
        <w:t>This study’s decomposition approach is ethically valuable because it discourages overgeneralization from accuracy alone, but it still requires careful communication of what the framework can and cannot prove.</w:t>
      </w:r>
    </w:p>
    <w:p w14:paraId="2C732080" w14:textId="50BAB2DF"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Article 2: Optimizing Chain-of-Thought Confidence via EDTR</w:t>
      </w:r>
    </w:p>
    <w:p w14:paraId="57B288DE" w14:textId="77777777"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Research Design and Justification</w:t>
      </w:r>
    </w:p>
    <w:p w14:paraId="77399997"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The EDTR study uses </w:t>
      </w:r>
      <w:proofErr w:type="gramStart"/>
      <w:r w:rsidRPr="00E12E9F">
        <w:rPr>
          <w:rFonts w:ascii="Times New Roman" w:hAnsi="Times New Roman" w:cs="Times New Roman"/>
          <w:b/>
          <w:bCs/>
        </w:rPr>
        <w:t>a quantitative</w:t>
      </w:r>
      <w:proofErr w:type="gramEnd"/>
      <w:r w:rsidRPr="00E12E9F">
        <w:rPr>
          <w:rFonts w:ascii="Times New Roman" w:hAnsi="Times New Roman" w:cs="Times New Roman"/>
          <w:b/>
          <w:bCs/>
        </w:rPr>
        <w:t xml:space="preserve"> predictive and inferential research design because it targets a problem that is already operationalizable: confidence calibration can be measured numerically, compared across baselines, and evaluated with standard metrics. Unlike exploratory work that defines constructs, this study treats miscalibration as an observable performance gap and proposes an intervention that can be tested. In doing so, it adopts a familiar structure in applied machine learning: define the reliability target (calibrated confidence), build a method (EDTR), and evaluate improvement relative to </w:t>
      </w:r>
      <w:r w:rsidRPr="00E12E9F">
        <w:rPr>
          <w:rFonts w:ascii="Times New Roman" w:hAnsi="Times New Roman" w:cs="Times New Roman"/>
          <w:b/>
          <w:bCs/>
        </w:rPr>
        <w:lastRenderedPageBreak/>
        <w:t>competing approaches across benchmarks. [CITE-MED: calibration evaluation methods; metrics like ECE/Brier]</w:t>
      </w:r>
    </w:p>
    <w:p w14:paraId="77C63A1A" w14:textId="3AE2B9A3"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However, the design has a boundary worth stating explicitly: calibration is not equivalent to correctness. The research design supports claims like “EDTR reduces calibration error relative to baselines,” but it does not fully answer why coherent reasoning sometimes fails or what internal model properties cause overconfidence. This is not a flaw; it reflects the design’s intent. The study sits in the “measurement and mitigation” stage of inquiry, where quantifying uncertainty and improving reliability is more urgent than explaining deeper mechanisms</w:t>
      </w:r>
      <w:r w:rsidR="00F735D9">
        <w:rPr>
          <w:rFonts w:ascii="Times New Roman" w:hAnsi="Times New Roman" w:cs="Times New Roman"/>
          <w:b/>
          <w:bCs/>
        </w:rPr>
        <w:t xml:space="preserve"> </w:t>
      </w:r>
      <w:r w:rsidR="00F735D9" w:rsidRPr="00F735D9">
        <w:rPr>
          <w:rFonts w:ascii="Times New Roman" w:hAnsi="Times New Roman" w:cs="Times New Roman"/>
          <w:b/>
          <w:bCs/>
        </w:rPr>
        <w:t>(Wing, 2020</w:t>
      </w:r>
      <w:r w:rsidR="00F735D9">
        <w:rPr>
          <w:rFonts w:ascii="Times New Roman" w:hAnsi="Times New Roman" w:cs="Times New Roman"/>
          <w:b/>
          <w:bCs/>
        </w:rPr>
        <w:t>)</w:t>
      </w:r>
      <w:r w:rsidRPr="00E12E9F">
        <w:rPr>
          <w:rFonts w:ascii="Times New Roman" w:hAnsi="Times New Roman" w:cs="Times New Roman"/>
          <w:b/>
          <w:bCs/>
        </w:rPr>
        <w:t>.</w:t>
      </w:r>
    </w:p>
    <w:p w14:paraId="0AAFE837" w14:textId="77777777"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Research Questions</w:t>
      </w:r>
    </w:p>
    <w:p w14:paraId="196C47B2"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The EDTR study poses clearly operationalized evaluative questions:</w:t>
      </w:r>
    </w:p>
    <w:p w14:paraId="6A07369A" w14:textId="77777777" w:rsidR="00E12E9F" w:rsidRPr="00E12E9F" w:rsidRDefault="00E12E9F" w:rsidP="00E12E9F">
      <w:pPr>
        <w:numPr>
          <w:ilvl w:val="0"/>
          <w:numId w:val="20"/>
        </w:numPr>
        <w:spacing w:line="480" w:lineRule="auto"/>
        <w:rPr>
          <w:rFonts w:ascii="Times New Roman" w:hAnsi="Times New Roman" w:cs="Times New Roman"/>
          <w:b/>
          <w:bCs/>
        </w:rPr>
      </w:pPr>
      <w:r w:rsidRPr="00E12E9F">
        <w:rPr>
          <w:rFonts w:ascii="Times New Roman" w:hAnsi="Times New Roman" w:cs="Times New Roman"/>
          <w:b/>
          <w:bCs/>
        </w:rPr>
        <w:t>RQ1 (Predictive): How accurately can confidence in chain-of-thought reasoning be calibrated to reflect correctness?</w:t>
      </w:r>
    </w:p>
    <w:p w14:paraId="31C6A1F7" w14:textId="77777777" w:rsidR="00E12E9F" w:rsidRPr="00E12E9F" w:rsidRDefault="00E12E9F" w:rsidP="00E12E9F">
      <w:pPr>
        <w:numPr>
          <w:ilvl w:val="0"/>
          <w:numId w:val="20"/>
        </w:numPr>
        <w:spacing w:line="480" w:lineRule="auto"/>
        <w:rPr>
          <w:rFonts w:ascii="Times New Roman" w:hAnsi="Times New Roman" w:cs="Times New Roman"/>
          <w:b/>
          <w:bCs/>
        </w:rPr>
      </w:pPr>
      <w:r w:rsidRPr="00E12E9F">
        <w:rPr>
          <w:rFonts w:ascii="Times New Roman" w:hAnsi="Times New Roman" w:cs="Times New Roman"/>
          <w:b/>
          <w:bCs/>
        </w:rPr>
        <w:t>RQ2 (Inferential): Does the EDTR method outperform existing calibration techniques?</w:t>
      </w:r>
    </w:p>
    <w:p w14:paraId="2C40496A" w14:textId="77777777" w:rsidR="00E12E9F" w:rsidRPr="00E12E9F" w:rsidRDefault="00E12E9F" w:rsidP="00E12E9F">
      <w:pPr>
        <w:numPr>
          <w:ilvl w:val="0"/>
          <w:numId w:val="20"/>
        </w:numPr>
        <w:spacing w:line="480" w:lineRule="auto"/>
        <w:rPr>
          <w:rFonts w:ascii="Times New Roman" w:hAnsi="Times New Roman" w:cs="Times New Roman"/>
          <w:b/>
          <w:bCs/>
        </w:rPr>
      </w:pPr>
      <w:r w:rsidRPr="00E12E9F">
        <w:rPr>
          <w:rFonts w:ascii="Times New Roman" w:hAnsi="Times New Roman" w:cs="Times New Roman"/>
          <w:b/>
          <w:bCs/>
        </w:rPr>
        <w:t>RQ3 (Inferential): Does EDTR generalize across models and task types?</w:t>
      </w:r>
    </w:p>
    <w:p w14:paraId="394D2254"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These questions are well suited to quantitative evaluation.</w:t>
      </w:r>
    </w:p>
    <w:p w14:paraId="5F2ABA8B" w14:textId="77777777"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Hypotheses</w:t>
      </w:r>
    </w:p>
    <w:p w14:paraId="05435206"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The evaluative nature of the study supports explicit hypotheses:</w:t>
      </w:r>
    </w:p>
    <w:p w14:paraId="02AE5666" w14:textId="77777777" w:rsidR="00E12E9F" w:rsidRPr="00E12E9F" w:rsidRDefault="00E12E9F" w:rsidP="00E12E9F">
      <w:pPr>
        <w:numPr>
          <w:ilvl w:val="0"/>
          <w:numId w:val="21"/>
        </w:numPr>
        <w:spacing w:line="480" w:lineRule="auto"/>
        <w:rPr>
          <w:rFonts w:ascii="Times New Roman" w:hAnsi="Times New Roman" w:cs="Times New Roman"/>
          <w:b/>
          <w:bCs/>
        </w:rPr>
      </w:pPr>
      <w:r w:rsidRPr="00E12E9F">
        <w:rPr>
          <w:rFonts w:ascii="Times New Roman" w:hAnsi="Times New Roman" w:cs="Times New Roman"/>
          <w:b/>
          <w:bCs/>
        </w:rPr>
        <w:t>H₀: EDTR does not improve confidence calibration relative to baseline methods.</w:t>
      </w:r>
    </w:p>
    <w:p w14:paraId="75352C97" w14:textId="77777777" w:rsidR="00E12E9F" w:rsidRPr="00E12E9F" w:rsidRDefault="00E12E9F" w:rsidP="00E12E9F">
      <w:pPr>
        <w:numPr>
          <w:ilvl w:val="0"/>
          <w:numId w:val="21"/>
        </w:numPr>
        <w:spacing w:line="480" w:lineRule="auto"/>
        <w:rPr>
          <w:rFonts w:ascii="Times New Roman" w:hAnsi="Times New Roman" w:cs="Times New Roman"/>
          <w:b/>
          <w:bCs/>
        </w:rPr>
      </w:pPr>
      <w:r w:rsidRPr="00E12E9F">
        <w:rPr>
          <w:rFonts w:ascii="Times New Roman" w:hAnsi="Times New Roman" w:cs="Times New Roman"/>
          <w:b/>
          <w:bCs/>
        </w:rPr>
        <w:lastRenderedPageBreak/>
        <w:t>H₁: EDTR improves confidence calibration relative to baseline methods.</w:t>
      </w:r>
    </w:p>
    <w:p w14:paraId="13FC9D23" w14:textId="77777777"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Data Ethics and Sector Context</w:t>
      </w:r>
    </w:p>
    <w:p w14:paraId="5D251111"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Sector/field context. This study falls under AI safety / trustworthy AI and intersects with practical domains such as finance and decision support, since one evaluated benchmark involves stock prediction and confidence in outputs can affect decision-making behavior.</w:t>
      </w:r>
    </w:p>
    <w:p w14:paraId="720CB2B5" w14:textId="168F7BA1"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Ethical issues and relevant laws/policies. While the EDTR study does not depend on personal data, it raises ethical issues around trust calibration and user interpretation. Overconfidence is a safety hazard in its own right: users can treat confidently stated outputs as authoritative, especially when reasoning is presented in step-by-step form</w:t>
      </w:r>
      <w:r w:rsidR="0040612A">
        <w:rPr>
          <w:rFonts w:ascii="Times New Roman" w:hAnsi="Times New Roman" w:cs="Times New Roman"/>
          <w:b/>
          <w:bCs/>
        </w:rPr>
        <w:t xml:space="preserve"> </w:t>
      </w:r>
      <w:r w:rsidR="0040612A" w:rsidRPr="0040612A">
        <w:rPr>
          <w:rFonts w:ascii="Times New Roman" w:hAnsi="Times New Roman" w:cs="Times New Roman"/>
          <w:b/>
          <w:bCs/>
        </w:rPr>
        <w:t>(Siegel, 2016)</w:t>
      </w:r>
      <w:r w:rsidRPr="00E12E9F">
        <w:rPr>
          <w:rFonts w:ascii="Times New Roman" w:hAnsi="Times New Roman" w:cs="Times New Roman"/>
          <w:b/>
          <w:bCs/>
        </w:rPr>
        <w:t xml:space="preserve">. </w:t>
      </w:r>
      <w:r w:rsidR="0040612A">
        <w:rPr>
          <w:rFonts w:ascii="Times New Roman" w:hAnsi="Times New Roman" w:cs="Times New Roman"/>
          <w:b/>
          <w:bCs/>
        </w:rPr>
        <w:t xml:space="preserve"> </w:t>
      </w:r>
      <w:r w:rsidRPr="00E12E9F">
        <w:rPr>
          <w:rFonts w:ascii="Times New Roman" w:hAnsi="Times New Roman" w:cs="Times New Roman"/>
          <w:b/>
          <w:bCs/>
        </w:rPr>
        <w:t>From a governance standpoint, frameworks like the NIST AI RMF are relevant because they emphasize lifecycle risk management and trustworthy AI characteristics, including reliability and transparency. [CITE-HIGH: NIST AI RMF]</w:t>
      </w:r>
    </w:p>
    <w:p w14:paraId="6C30BB6B"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There are also legal and policy considerations tied to the data sources and the potential deployment context. If the stock prediction benchmark uses data sourced from services like Yahoo Finance, usage is constrained by platform terms and permitted-use conditions; Yahoo’s Terms of Service explicitly restrict misuse and unauthorized reuse of services/content. [CITE-HIGH: Yahoo Terms of Service] In real-world applications where calibration is deployed alongside user data, privacy laws such as the GDPR (principles like lawfulness, fairness, and transparency in personal data processing) and CCPA (consumer rights over personal information) become relevant constraints on what can be collected and inferred. [CITE-HIGH: GDPR principles] [CITE-HIGH: CCPA]</w:t>
      </w:r>
    </w:p>
    <w:p w14:paraId="2492E6D8"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lastRenderedPageBreak/>
        <w:t xml:space="preserve">The ethical risk profile of this study is therefore not primarily about data sensitivity, but about the consequences of inference and the social meaning of “confidence.” </w:t>
      </w:r>
      <w:proofErr w:type="gramStart"/>
      <w:r w:rsidRPr="00E12E9F">
        <w:rPr>
          <w:rFonts w:ascii="Times New Roman" w:hAnsi="Times New Roman" w:cs="Times New Roman"/>
          <w:b/>
          <w:bCs/>
        </w:rPr>
        <w:t>The</w:t>
      </w:r>
      <w:proofErr w:type="gramEnd"/>
      <w:r w:rsidRPr="00E12E9F">
        <w:rPr>
          <w:rFonts w:ascii="Times New Roman" w:hAnsi="Times New Roman" w:cs="Times New Roman"/>
          <w:b/>
          <w:bCs/>
        </w:rPr>
        <w:t xml:space="preserve"> method may improve calibration, but it can also create a false sense of security if confidence is interpreted as correctness rather than as a probabilistic signal. [CITE-MED: calibration vs trust; confidence communication risks]</w:t>
      </w:r>
    </w:p>
    <w:p w14:paraId="704C17CF" w14:textId="395A6908"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Article 3: Data-Driven AI for Topology Optimization</w:t>
      </w:r>
    </w:p>
    <w:p w14:paraId="323A473A" w14:textId="77777777"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Research Design and Justification</w:t>
      </w:r>
    </w:p>
    <w:p w14:paraId="00CB4C9F"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The topology optimization study uses a quantitative comparative experimental design because it is evaluating architecture choices under defined constraints. The optimization problem itself is well-established, and the key question is whether a model family (CNN) and a specific enhancement (self-attention) yield measurable gains when training data is limited. This makes comparative evaluation the correct design choice: it supports performance-based claims through controlled benchmarking and consistent evaluation conditions. [CITE-MED: comparative experimental design; benchmarking practices]</w:t>
      </w:r>
    </w:p>
    <w:p w14:paraId="12472D5B" w14:textId="5EACB3FF"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At the same time, the study’s design naturally limits the breadth of its conclusions. Comparative performance in a constrained dataset is meaningful, but it does not necessarily imply generalization across different boundary conditions, objective functions, or real-world engineering constraints. The study is strongest where it is most disciplined: showing how architectural differences affect performance within the defined scenario. Its weakness is not methodological but contextual</w:t>
      </w:r>
      <w:r w:rsidR="00963855">
        <w:rPr>
          <w:rFonts w:ascii="Times New Roman" w:hAnsi="Times New Roman" w:cs="Times New Roman"/>
          <w:b/>
          <w:bCs/>
        </w:rPr>
        <w:t xml:space="preserve">, </w:t>
      </w:r>
      <w:r w:rsidRPr="00E12E9F">
        <w:rPr>
          <w:rFonts w:ascii="Times New Roman" w:hAnsi="Times New Roman" w:cs="Times New Roman"/>
          <w:b/>
          <w:bCs/>
        </w:rPr>
        <w:t xml:space="preserve">like most applied benchmarking, it leaves </w:t>
      </w:r>
      <w:r w:rsidRPr="00E12E9F">
        <w:rPr>
          <w:rFonts w:ascii="Times New Roman" w:hAnsi="Times New Roman" w:cs="Times New Roman"/>
          <w:b/>
          <w:bCs/>
        </w:rPr>
        <w:lastRenderedPageBreak/>
        <w:t>open questions about robustness under distribution shifts and deployment variability. [CITE-MED: generalization limits; external validity]</w:t>
      </w:r>
    </w:p>
    <w:p w14:paraId="4FA3BB60" w14:textId="77777777"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Research Questions</w:t>
      </w:r>
    </w:p>
    <w:p w14:paraId="57582382" w14:textId="77777777" w:rsidR="00E12E9F" w:rsidRPr="00E12E9F" w:rsidRDefault="00E12E9F" w:rsidP="00E12E9F">
      <w:pPr>
        <w:numPr>
          <w:ilvl w:val="0"/>
          <w:numId w:val="22"/>
        </w:numPr>
        <w:spacing w:line="480" w:lineRule="auto"/>
        <w:rPr>
          <w:rFonts w:ascii="Times New Roman" w:hAnsi="Times New Roman" w:cs="Times New Roman"/>
          <w:b/>
          <w:bCs/>
        </w:rPr>
      </w:pPr>
      <w:r w:rsidRPr="00E12E9F">
        <w:rPr>
          <w:rFonts w:ascii="Times New Roman" w:hAnsi="Times New Roman" w:cs="Times New Roman"/>
          <w:b/>
          <w:bCs/>
        </w:rPr>
        <w:t>RQ1 (Predictive): Can CNN-based models approximate topology optimization solutions under data constraints?</w:t>
      </w:r>
    </w:p>
    <w:p w14:paraId="6B571B46" w14:textId="77777777" w:rsidR="00E12E9F" w:rsidRPr="00E12E9F" w:rsidRDefault="00E12E9F" w:rsidP="00E12E9F">
      <w:pPr>
        <w:numPr>
          <w:ilvl w:val="0"/>
          <w:numId w:val="22"/>
        </w:numPr>
        <w:spacing w:line="480" w:lineRule="auto"/>
        <w:rPr>
          <w:rFonts w:ascii="Times New Roman" w:hAnsi="Times New Roman" w:cs="Times New Roman"/>
          <w:b/>
          <w:bCs/>
        </w:rPr>
      </w:pPr>
      <w:r w:rsidRPr="00E12E9F">
        <w:rPr>
          <w:rFonts w:ascii="Times New Roman" w:hAnsi="Times New Roman" w:cs="Times New Roman"/>
          <w:b/>
          <w:bCs/>
        </w:rPr>
        <w:t xml:space="preserve">RQ2 (Inferential): Does self-attention improve predictive performance relative to standard CNN </w:t>
      </w:r>
      <w:proofErr w:type="gramStart"/>
      <w:r w:rsidRPr="00E12E9F">
        <w:rPr>
          <w:rFonts w:ascii="Times New Roman" w:hAnsi="Times New Roman" w:cs="Times New Roman"/>
          <w:b/>
          <w:bCs/>
        </w:rPr>
        <w:t>architectures</w:t>
      </w:r>
      <w:proofErr w:type="gramEnd"/>
      <w:r w:rsidRPr="00E12E9F">
        <w:rPr>
          <w:rFonts w:ascii="Times New Roman" w:hAnsi="Times New Roman" w:cs="Times New Roman"/>
          <w:b/>
          <w:bCs/>
        </w:rPr>
        <w:t>?</w:t>
      </w:r>
    </w:p>
    <w:p w14:paraId="07BE3F99" w14:textId="77777777" w:rsidR="00E12E9F" w:rsidRPr="00E12E9F" w:rsidRDefault="00E12E9F" w:rsidP="00E12E9F">
      <w:pPr>
        <w:numPr>
          <w:ilvl w:val="0"/>
          <w:numId w:val="22"/>
        </w:numPr>
        <w:spacing w:line="480" w:lineRule="auto"/>
        <w:rPr>
          <w:rFonts w:ascii="Times New Roman" w:hAnsi="Times New Roman" w:cs="Times New Roman"/>
          <w:b/>
          <w:bCs/>
        </w:rPr>
      </w:pPr>
      <w:r w:rsidRPr="00E12E9F">
        <w:rPr>
          <w:rFonts w:ascii="Times New Roman" w:hAnsi="Times New Roman" w:cs="Times New Roman"/>
          <w:b/>
          <w:bCs/>
        </w:rPr>
        <w:t xml:space="preserve">RQ3 (Inferential): How do </w:t>
      </w:r>
      <w:proofErr w:type="gramStart"/>
      <w:r w:rsidRPr="00E12E9F">
        <w:rPr>
          <w:rFonts w:ascii="Times New Roman" w:hAnsi="Times New Roman" w:cs="Times New Roman"/>
          <w:b/>
          <w:bCs/>
        </w:rPr>
        <w:t>learned models</w:t>
      </w:r>
      <w:proofErr w:type="gramEnd"/>
      <w:r w:rsidRPr="00E12E9F">
        <w:rPr>
          <w:rFonts w:ascii="Times New Roman" w:hAnsi="Times New Roman" w:cs="Times New Roman"/>
          <w:b/>
          <w:bCs/>
        </w:rPr>
        <w:t xml:space="preserve"> </w:t>
      </w:r>
      <w:proofErr w:type="gramStart"/>
      <w:r w:rsidRPr="00E12E9F">
        <w:rPr>
          <w:rFonts w:ascii="Times New Roman" w:hAnsi="Times New Roman" w:cs="Times New Roman"/>
          <w:b/>
          <w:bCs/>
        </w:rPr>
        <w:t>compare</w:t>
      </w:r>
      <w:proofErr w:type="gramEnd"/>
      <w:r w:rsidRPr="00E12E9F">
        <w:rPr>
          <w:rFonts w:ascii="Times New Roman" w:hAnsi="Times New Roman" w:cs="Times New Roman"/>
          <w:b/>
          <w:bCs/>
        </w:rPr>
        <w:t xml:space="preserve"> to gradient-based optimizers?</w:t>
      </w:r>
    </w:p>
    <w:p w14:paraId="289A8B1A" w14:textId="77777777"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Hypotheses</w:t>
      </w:r>
    </w:p>
    <w:p w14:paraId="4BD738F7" w14:textId="77777777" w:rsidR="00E12E9F" w:rsidRPr="00E12E9F" w:rsidRDefault="00E12E9F" w:rsidP="00E12E9F">
      <w:pPr>
        <w:numPr>
          <w:ilvl w:val="0"/>
          <w:numId w:val="23"/>
        </w:numPr>
        <w:spacing w:line="480" w:lineRule="auto"/>
        <w:rPr>
          <w:rFonts w:ascii="Times New Roman" w:hAnsi="Times New Roman" w:cs="Times New Roman"/>
          <w:b/>
          <w:bCs/>
        </w:rPr>
      </w:pPr>
      <w:r w:rsidRPr="00E12E9F">
        <w:rPr>
          <w:rFonts w:ascii="Times New Roman" w:hAnsi="Times New Roman" w:cs="Times New Roman"/>
          <w:b/>
          <w:bCs/>
        </w:rPr>
        <w:t xml:space="preserve">H₀: No significant performance difference exists between CNN and </w:t>
      </w:r>
      <w:proofErr w:type="spellStart"/>
      <w:r w:rsidRPr="00E12E9F">
        <w:rPr>
          <w:rFonts w:ascii="Times New Roman" w:hAnsi="Times New Roman" w:cs="Times New Roman"/>
          <w:b/>
          <w:bCs/>
        </w:rPr>
        <w:t>CNN+self-attention</w:t>
      </w:r>
      <w:proofErr w:type="spellEnd"/>
      <w:r w:rsidRPr="00E12E9F">
        <w:rPr>
          <w:rFonts w:ascii="Times New Roman" w:hAnsi="Times New Roman" w:cs="Times New Roman"/>
          <w:b/>
          <w:bCs/>
        </w:rPr>
        <w:t xml:space="preserve"> models.</w:t>
      </w:r>
    </w:p>
    <w:p w14:paraId="1AB13160" w14:textId="77777777" w:rsidR="00E12E9F" w:rsidRPr="00E12E9F" w:rsidRDefault="00E12E9F" w:rsidP="00E12E9F">
      <w:pPr>
        <w:numPr>
          <w:ilvl w:val="0"/>
          <w:numId w:val="23"/>
        </w:numPr>
        <w:spacing w:line="480" w:lineRule="auto"/>
        <w:rPr>
          <w:rFonts w:ascii="Times New Roman" w:hAnsi="Times New Roman" w:cs="Times New Roman"/>
          <w:b/>
          <w:bCs/>
        </w:rPr>
      </w:pPr>
      <w:r w:rsidRPr="00E12E9F">
        <w:rPr>
          <w:rFonts w:ascii="Times New Roman" w:hAnsi="Times New Roman" w:cs="Times New Roman"/>
          <w:b/>
          <w:bCs/>
        </w:rPr>
        <w:t xml:space="preserve">H₁: </w:t>
      </w:r>
      <w:proofErr w:type="spellStart"/>
      <w:r w:rsidRPr="00E12E9F">
        <w:rPr>
          <w:rFonts w:ascii="Times New Roman" w:hAnsi="Times New Roman" w:cs="Times New Roman"/>
          <w:b/>
          <w:bCs/>
        </w:rPr>
        <w:t>CNN+self-attention</w:t>
      </w:r>
      <w:proofErr w:type="spellEnd"/>
      <w:r w:rsidRPr="00E12E9F">
        <w:rPr>
          <w:rFonts w:ascii="Times New Roman" w:hAnsi="Times New Roman" w:cs="Times New Roman"/>
          <w:b/>
          <w:bCs/>
        </w:rPr>
        <w:t xml:space="preserve"> models outperform standard CNN models.</w:t>
      </w:r>
    </w:p>
    <w:p w14:paraId="1ABFFAF5"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Data Ethics and Sector Context</w:t>
      </w:r>
    </w:p>
    <w:p w14:paraId="520B3CA1"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Sector/field context. This study is in the engineering and applied AI sector, specifically structural design / topology optimization, where models are used to approximate or accelerate optimization workflows. The data appears to be simulated or generated through optimization pipelines rather than collected from human subjects, making privacy risk low.</w:t>
      </w:r>
    </w:p>
    <w:p w14:paraId="1421CC1A"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Ethical issues and relevant laws/policies. The ethical concerns here are about safety, reliability, and responsible engineering use, not personal privacy. If AI-assisted design tools are used in safety-critical contexts (e.g., robotics, transportation systems, or structural </w:t>
      </w:r>
      <w:r w:rsidRPr="00E12E9F">
        <w:rPr>
          <w:rFonts w:ascii="Times New Roman" w:hAnsi="Times New Roman" w:cs="Times New Roman"/>
          <w:b/>
          <w:bCs/>
        </w:rPr>
        <w:lastRenderedPageBreak/>
        <w:t>components), error tolerance becomes a real-world ethical issue because failures can translate into physical harm. [CITE-MED: safety-critical AI; engineering risk] Risk management frameworks are relevant here even without sensitive data. The EU AI Act includes a category of high-risk systems and a risk-management emphasis for deployment contexts that affect safety or rights, reinforcing that “risk” in AI governance is not limited to privacy. [CITE-HIGH: EU AI Act text] International standards also exist for AI risk management, such as ISO/IEC 23894:2023, which provides guidance for risk management across AI lifecycle activities. [CITE-HIGH: ISO/IEC 23894] If such systems were deployed in automotive or other regulated safety domains, standards such as ISO 26262 illustrate how functional safety frameworks shape development and validation expectations for safety-related systems. [CITE-MED: ISO 26262]</w:t>
      </w:r>
    </w:p>
    <w:p w14:paraId="5B9F2268" w14:textId="4F7401A9"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Reflect and Compare: Research Design Choices</w:t>
      </w:r>
    </w:p>
    <w:p w14:paraId="02F7DB02"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A useful way to compare these studies is to treat them as three stages of inquiry: what reasoning is, why trusting it is hard, and how we evaluate and optimize AI performance under constraints. This arc helps explain why the design choices differ </w:t>
      </w:r>
      <w:proofErr w:type="gramStart"/>
      <w:r w:rsidRPr="00E12E9F">
        <w:rPr>
          <w:rFonts w:ascii="Times New Roman" w:hAnsi="Times New Roman" w:cs="Times New Roman"/>
          <w:b/>
          <w:bCs/>
        </w:rPr>
        <w:t>and also</w:t>
      </w:r>
      <w:proofErr w:type="gramEnd"/>
      <w:r w:rsidRPr="00E12E9F">
        <w:rPr>
          <w:rFonts w:ascii="Times New Roman" w:hAnsi="Times New Roman" w:cs="Times New Roman"/>
          <w:b/>
          <w:bCs/>
        </w:rPr>
        <w:t xml:space="preserve"> makes clear what would happen if each study attempted to use a different design.</w:t>
      </w:r>
    </w:p>
    <w:p w14:paraId="79998C6D" w14:textId="460FA156"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Could the Atomic Thinking study have used a quantitative hypothesis-driven design? Technically it could have compared performance across tasks and models with formal hypothesis testing, but that would have pushed the study toward confirming differences without clarifying the constructs behind those differences. [CITE-HIGH: exploratory vs confirmatory research; construct development] The central problem was definitional: what counts as reasoning, and what sub-capabilities make it up. A purely quantitative design would likely have produced stronger claims about performance </w:t>
      </w:r>
      <w:r w:rsidRPr="00E12E9F">
        <w:rPr>
          <w:rFonts w:ascii="Times New Roman" w:hAnsi="Times New Roman" w:cs="Times New Roman"/>
          <w:b/>
          <w:bCs/>
        </w:rPr>
        <w:lastRenderedPageBreak/>
        <w:t>differences, but weaker understanding of the structure being measured. In my view, the exploratory design is appropriate because it creates conceptual scaffolding that later quantitative research can use. [CITE-HIGH: design choice aligned to problem maturity]</w:t>
      </w:r>
    </w:p>
    <w:p w14:paraId="12AD345A"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Could the EDTR study have been exploratory instead? It could have explored failure cases of confidence and described patterns of overconfidence qualitatively, but its value proposition is inherently evaluative: it proposes a method intended to improve calibration and then demonstrates improvement relative to baselines. An </w:t>
      </w:r>
      <w:proofErr w:type="gramStart"/>
      <w:r w:rsidRPr="00E12E9F">
        <w:rPr>
          <w:rFonts w:ascii="Times New Roman" w:hAnsi="Times New Roman" w:cs="Times New Roman"/>
          <w:b/>
          <w:bCs/>
        </w:rPr>
        <w:t>exploratory</w:t>
      </w:r>
      <w:proofErr w:type="gramEnd"/>
      <w:r w:rsidRPr="00E12E9F">
        <w:rPr>
          <w:rFonts w:ascii="Times New Roman" w:hAnsi="Times New Roman" w:cs="Times New Roman"/>
          <w:b/>
          <w:bCs/>
        </w:rPr>
        <w:t xml:space="preserve"> design would not support the same deployment-facing claim. In my view, the quantitative predictive/inferential design is appropriate because the research question is already operationalized, and the study’s contribution is measurable performance improvement. [CITE-MED: calibration metrics; evaluation methodology]</w:t>
      </w:r>
    </w:p>
    <w:p w14:paraId="19BE29C1"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Could the topology optimization study have been </w:t>
      </w:r>
      <w:proofErr w:type="gramStart"/>
      <w:r w:rsidRPr="00E12E9F">
        <w:rPr>
          <w:rFonts w:ascii="Times New Roman" w:hAnsi="Times New Roman" w:cs="Times New Roman"/>
          <w:b/>
          <w:bCs/>
        </w:rPr>
        <w:t>exploratory</w:t>
      </w:r>
      <w:proofErr w:type="gramEnd"/>
      <w:r w:rsidRPr="00E12E9F">
        <w:rPr>
          <w:rFonts w:ascii="Times New Roman" w:hAnsi="Times New Roman" w:cs="Times New Roman"/>
          <w:b/>
          <w:bCs/>
        </w:rPr>
        <w:t>? It could have explored what kinds of structures emerge or how models represent material distributions, but the core contribution is comparative: whether self-attention improves approximation quality under limited data. Because performance and constraints are explicit, a comparative experimental design fits the problem. I see the design choice as appropriate, though like most benchmarking work, it would be strengthened by broader testing across more varied objectives and conditions. [CITE-MED: benchmarking and external validity]</w:t>
      </w:r>
    </w:p>
    <w:p w14:paraId="2F548869"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Overall, these three studies show that research designs are not competing templates but tools for different stages of understanding. Exploratory research defines and decomposes the phenomenon; quantitative methods measure reliability and evaluate interventions; applied comparative designs test performance under constraints.</w:t>
      </w:r>
    </w:p>
    <w:p w14:paraId="5901FFEE"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lastRenderedPageBreak/>
        <w:t>Note: This section already contains the minimum three citation points required for your Reflect and Compare research design discussion (the three HIGH/MED brackets above).</w:t>
      </w:r>
    </w:p>
    <w:p w14:paraId="4F12C4E4" w14:textId="42264C23"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Reflect and Compare: Research Questions and Results</w:t>
      </w:r>
    </w:p>
    <w:p w14:paraId="1E1836CC"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The key difference in research questions across these studies is that they seek different kinds of answers: conceptual clarification, measurable reliability, and applied performance evaluation. This affects what it means for a question to be “answered” and what limitations remain. [CITE-MED: alignment of question type and evidence strength]</w:t>
      </w:r>
    </w:p>
    <w:p w14:paraId="21FAED07"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In the Atomic Thinking study, the primary constructive question is answered in the sense that the paper provides a framework for decomposing reasoning and uses it to identify systematic gaps across domains and difficulty levels. However, because the questions are exploratory, the answers are diagnostic rather than final. The study shows that reasoning is uneven and not monolithic, but it does not fully establish which training interventions reliably improve specific atomic capabilities, nor does it settle whether the same decomposition holds across all model families. In that sense, the answers function as structured insight and a roadmap for future work, not as closure.</w:t>
      </w:r>
    </w:p>
    <w:p w14:paraId="3263F2DF"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In the EDTR study, the research questions are operationalized and largely answered: calibration improves relative to baselines across the tested benchmarks and models. The results are significant within the scope of the study because they demonstrate measurable improvement </w:t>
      </w:r>
      <w:proofErr w:type="gramStart"/>
      <w:r w:rsidRPr="00E12E9F">
        <w:rPr>
          <w:rFonts w:ascii="Times New Roman" w:hAnsi="Times New Roman" w:cs="Times New Roman"/>
          <w:b/>
          <w:bCs/>
        </w:rPr>
        <w:t>on</w:t>
      </w:r>
      <w:proofErr w:type="gramEnd"/>
      <w:r w:rsidRPr="00E12E9F">
        <w:rPr>
          <w:rFonts w:ascii="Times New Roman" w:hAnsi="Times New Roman" w:cs="Times New Roman"/>
          <w:b/>
          <w:bCs/>
        </w:rPr>
        <w:t xml:space="preserve"> standard metrics. [CITE-MED: interpreting calibration improvements] However, there are also results the study does not fully identify: improving calibration does not necessarily explain the causal drivers of overconfidence, nor does it </w:t>
      </w:r>
      <w:r w:rsidRPr="00E12E9F">
        <w:rPr>
          <w:rFonts w:ascii="Times New Roman" w:hAnsi="Times New Roman" w:cs="Times New Roman"/>
          <w:b/>
          <w:bCs/>
        </w:rPr>
        <w:lastRenderedPageBreak/>
        <w:t>guarantee that calibrated confidence will be interpreted correctly by users. The paper acknowledges limitations (for example, coherence does not guarantee correctness), which suggests the results are meaningful but not definitive in the broader problem of trustworthy reasoning.</w:t>
      </w:r>
    </w:p>
    <w:p w14:paraId="3F6919DF"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In the topology optimization study, the research questions are answered within the experimental frame: the </w:t>
      </w:r>
      <w:proofErr w:type="gramStart"/>
      <w:r w:rsidRPr="00E12E9F">
        <w:rPr>
          <w:rFonts w:ascii="Times New Roman" w:hAnsi="Times New Roman" w:cs="Times New Roman"/>
          <w:b/>
          <w:bCs/>
        </w:rPr>
        <w:t>models</w:t>
      </w:r>
      <w:proofErr w:type="gramEnd"/>
      <w:r w:rsidRPr="00E12E9F">
        <w:rPr>
          <w:rFonts w:ascii="Times New Roman" w:hAnsi="Times New Roman" w:cs="Times New Roman"/>
          <w:b/>
          <w:bCs/>
        </w:rPr>
        <w:t xml:space="preserve"> approximate solutions under limited data, and self-attention improves performance in harder cases. The results are significant in an applied sense because they support a practical claim about architecture choice under constraints. What remains unaddressed is robustness: how stable performance is across different boundary conditions, objectives, or deployment scenarios. This is not a failure to answer the question, but a limitation of scope that matters when moving from experiment to application. [CITE-MED: robustness and deployment validity]</w:t>
      </w:r>
    </w:p>
    <w:p w14:paraId="60A376A7" w14:textId="6B939676"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Reflect and Compare: Hypotheses Across Designs</w:t>
      </w:r>
    </w:p>
    <w:p w14:paraId="7A0BBD15"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For the two quantitative studies, it is clearly possible to express their research questions as hypothesis pairs because the outcomes are operationalized and measurable. In the EDTR study, the claim “EDTR improves calibration relative to baselines” translates into H₀/H₁ framed around calibration error metrics. In the topology optimization study, the claim “</w:t>
      </w:r>
      <w:proofErr w:type="spellStart"/>
      <w:r w:rsidRPr="00E12E9F">
        <w:rPr>
          <w:rFonts w:ascii="Times New Roman" w:hAnsi="Times New Roman" w:cs="Times New Roman"/>
          <w:b/>
          <w:bCs/>
        </w:rPr>
        <w:t>CNN+self-attention</w:t>
      </w:r>
      <w:proofErr w:type="spellEnd"/>
      <w:r w:rsidRPr="00E12E9F">
        <w:rPr>
          <w:rFonts w:ascii="Times New Roman" w:hAnsi="Times New Roman" w:cs="Times New Roman"/>
          <w:b/>
          <w:bCs/>
        </w:rPr>
        <w:t xml:space="preserve"> outperforms CNN under data constraints” similarly translates into a hypothesis pair framed around predictive performance metrics. In both cases, hypotheses discipline interpretation: they force the claim into a testable form and allow results to be evaluated against a defined null. [CITE-HIGH: hypothesis testing in quantitative research]</w:t>
      </w:r>
    </w:p>
    <w:p w14:paraId="2F61B55B" w14:textId="07865CC0"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lastRenderedPageBreak/>
        <w:t xml:space="preserve">The exploratory Atomic Thinking study is different. It is possible to write hypotheses after </w:t>
      </w:r>
      <w:proofErr w:type="gramStart"/>
      <w:r w:rsidRPr="00E12E9F">
        <w:rPr>
          <w:rFonts w:ascii="Times New Roman" w:hAnsi="Times New Roman" w:cs="Times New Roman"/>
          <w:b/>
          <w:bCs/>
        </w:rPr>
        <w:t>the</w:t>
      </w:r>
      <w:proofErr w:type="gramEnd"/>
      <w:r w:rsidRPr="00E12E9F">
        <w:rPr>
          <w:rFonts w:ascii="Times New Roman" w:hAnsi="Times New Roman" w:cs="Times New Roman"/>
          <w:b/>
          <w:bCs/>
        </w:rPr>
        <w:t xml:space="preserve"> fact, but doing so would distort what the study is </w:t>
      </w:r>
      <w:proofErr w:type="gramStart"/>
      <w:r w:rsidRPr="00E12E9F">
        <w:rPr>
          <w:rFonts w:ascii="Times New Roman" w:hAnsi="Times New Roman" w:cs="Times New Roman"/>
          <w:b/>
          <w:bCs/>
        </w:rPr>
        <w:t>actually doing</w:t>
      </w:r>
      <w:proofErr w:type="gramEnd"/>
      <w:r w:rsidRPr="00E12E9F">
        <w:rPr>
          <w:rFonts w:ascii="Times New Roman" w:hAnsi="Times New Roman" w:cs="Times New Roman"/>
          <w:b/>
          <w:bCs/>
        </w:rPr>
        <w:t>. The central problem is that the variables and relationships are not yet cleanly defined; the study is building the conceptual structure needed to make later hypotheses meaningful. This does not mean hypotheses are irrelevant</w:t>
      </w:r>
      <w:r w:rsidR="003D1548">
        <w:rPr>
          <w:rFonts w:ascii="Times New Roman" w:hAnsi="Times New Roman" w:cs="Times New Roman"/>
          <w:b/>
          <w:bCs/>
        </w:rPr>
        <w:t xml:space="preserve">, </w:t>
      </w:r>
      <w:r w:rsidRPr="00E12E9F">
        <w:rPr>
          <w:rFonts w:ascii="Times New Roman" w:hAnsi="Times New Roman" w:cs="Times New Roman"/>
          <w:b/>
          <w:bCs/>
        </w:rPr>
        <w:t>it means hypothesis testing belongs to a later stage of inquiry. The more useful interpretation is that the study generates candidate hypotheses, for example: models may exhibit systematic weakness in certain atomic capabilities under specific conditions, which later work can test quantitatively. The inability to produce well-formed hypotheses at the outset is not automatically a weakness; it reflects the maturity of the research space and the study’s goal of constructing the conceptual units that hypothesis testing would require</w:t>
      </w:r>
      <w:r w:rsidR="00000D9E">
        <w:rPr>
          <w:rFonts w:ascii="Times New Roman" w:hAnsi="Times New Roman" w:cs="Times New Roman"/>
          <w:b/>
          <w:bCs/>
        </w:rPr>
        <w:t xml:space="preserve"> </w:t>
      </w:r>
      <w:r w:rsidR="00000D9E" w:rsidRPr="00000D9E">
        <w:rPr>
          <w:rFonts w:ascii="Times New Roman" w:hAnsi="Times New Roman" w:cs="Times New Roman"/>
          <w:b/>
          <w:bCs/>
        </w:rPr>
        <w:t>(Wing, 2020</w:t>
      </w:r>
      <w:r w:rsidR="00000D9E">
        <w:rPr>
          <w:rFonts w:ascii="Times New Roman" w:hAnsi="Times New Roman" w:cs="Times New Roman"/>
          <w:b/>
          <w:bCs/>
        </w:rPr>
        <w:t>).</w:t>
      </w:r>
    </w:p>
    <w:p w14:paraId="43BC7028" w14:textId="03D844A3"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Data Ethics Comparison</w:t>
      </w:r>
    </w:p>
    <w:p w14:paraId="2F2792B6" w14:textId="78C698AB"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The three studies differ substantially in data sensitivity, but the most important ethical differences arise from how </w:t>
      </w:r>
      <w:proofErr w:type="gramStart"/>
      <w:r w:rsidRPr="00E12E9F">
        <w:rPr>
          <w:rFonts w:ascii="Times New Roman" w:hAnsi="Times New Roman" w:cs="Times New Roman"/>
          <w:b/>
          <w:bCs/>
        </w:rPr>
        <w:t>outputs</w:t>
      </w:r>
      <w:proofErr w:type="gramEnd"/>
      <w:r w:rsidRPr="00E12E9F">
        <w:rPr>
          <w:rFonts w:ascii="Times New Roman" w:hAnsi="Times New Roman" w:cs="Times New Roman"/>
          <w:b/>
          <w:bCs/>
        </w:rPr>
        <w:t xml:space="preserve"> might be used in the world. In the Atomic Thinking study, privacy risk is low because the data is benchmark/synthetic, but ethical risk exists in how findings shape capability claims. Overstating “reasoning” could contribute to premature deployment. The ethical obligation is careful communication and interpretability</w:t>
      </w:r>
      <w:r w:rsidR="005B79C2">
        <w:rPr>
          <w:rFonts w:ascii="Times New Roman" w:hAnsi="Times New Roman" w:cs="Times New Roman"/>
          <w:b/>
          <w:bCs/>
        </w:rPr>
        <w:t xml:space="preserve"> </w:t>
      </w:r>
      <w:r w:rsidR="005B79C2" w:rsidRPr="005B79C2">
        <w:rPr>
          <w:rFonts w:ascii="Times New Roman" w:hAnsi="Times New Roman" w:cs="Times New Roman"/>
          <w:b/>
          <w:bCs/>
        </w:rPr>
        <w:t>(Wing, 2020)</w:t>
      </w:r>
      <w:r w:rsidRPr="00E12E9F">
        <w:rPr>
          <w:rFonts w:ascii="Times New Roman" w:hAnsi="Times New Roman" w:cs="Times New Roman"/>
          <w:b/>
          <w:bCs/>
        </w:rPr>
        <w:t>.</w:t>
      </w:r>
    </w:p>
    <w:p w14:paraId="1C342457" w14:textId="71CC8D00"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In the EDTR study, privacy risk is still relatively low, but the stakes are higher because the work directly targets user trust and reliance. A calibrated confidence system can improve safety, but it can also create new failure modes if users interpret confidence as correctness</w:t>
      </w:r>
      <w:r w:rsidR="005050EF">
        <w:rPr>
          <w:rFonts w:ascii="Times New Roman" w:hAnsi="Times New Roman" w:cs="Times New Roman"/>
          <w:b/>
          <w:bCs/>
        </w:rPr>
        <w:t xml:space="preserve"> </w:t>
      </w:r>
      <w:r w:rsidR="00F8055D" w:rsidRPr="00F8055D">
        <w:rPr>
          <w:rFonts w:ascii="Times New Roman" w:hAnsi="Times New Roman" w:cs="Times New Roman"/>
          <w:b/>
          <w:bCs/>
        </w:rPr>
        <w:t>(Siegel, 2016)</w:t>
      </w:r>
      <w:r w:rsidRPr="00E12E9F">
        <w:rPr>
          <w:rFonts w:ascii="Times New Roman" w:hAnsi="Times New Roman" w:cs="Times New Roman"/>
          <w:b/>
          <w:bCs/>
        </w:rPr>
        <w:t xml:space="preserve">. The relevant “sensitivity” is not personal data exposure but the decision impact of </w:t>
      </w:r>
      <w:proofErr w:type="spellStart"/>
      <w:r w:rsidRPr="00E12E9F">
        <w:rPr>
          <w:rFonts w:ascii="Times New Roman" w:hAnsi="Times New Roman" w:cs="Times New Roman"/>
          <w:b/>
          <w:bCs/>
        </w:rPr>
        <w:t>miscalibrated</w:t>
      </w:r>
      <w:proofErr w:type="spellEnd"/>
      <w:r w:rsidRPr="00E12E9F">
        <w:rPr>
          <w:rFonts w:ascii="Times New Roman" w:hAnsi="Times New Roman" w:cs="Times New Roman"/>
          <w:b/>
          <w:bCs/>
        </w:rPr>
        <w:t xml:space="preserve"> trust. </w:t>
      </w:r>
    </w:p>
    <w:p w14:paraId="1762D761"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lastRenderedPageBreak/>
        <w:t>In the topology optimization study, privacy risk is minimal due to synthetic engineering data, but the downstream risk can be high if the outputs inform safety-critical design. Here the core ethical obligation is rigorous validation and clear boundaries on what the model can safely replace. [CITE-MED: safety-critical AI validation norms]</w:t>
      </w:r>
    </w:p>
    <w:p w14:paraId="45ED5970"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Do I agree with current acts and policies? In general, privacy laws such as GDPR and CCPA are necessary for controlling personal data use, but they do not fully address inference risk and downstream harm in AI deployment. The EU AI Act’s risk-based approach better matches the reality that AI harms often arise from application context rather than data sensitivity alone. [CITE-HIGH: EU AI Act] [CITE-HIGH: GDPR] [CITE-HIGH: CCPA] Standards and frameworks like NIST AI RMF and ISO/IEC 23894 similarly reflect the need for lifecycle risk governance, not just data compliance. [CITE-HIGH: NIST AI RMF] [CITE-HIGH: ISO/IEC 23894]</w:t>
      </w:r>
    </w:p>
    <w:p w14:paraId="63CD0A0A" w14:textId="4691BB5E"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Data Privacy in Data Science</w:t>
      </w:r>
    </w:p>
    <w:p w14:paraId="4C071ED6"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Data privacy in data science has traditionally been framed in terms of data collection, storage, and access, with primary emphasis placed on protecting personally identifiable information and ensuring compliance with legal and regulatory standards. While these concerns remain essential, they capture only part of the privacy landscape in modern data science practice. As analytical and predictive capabilities have advanced, privacy risks increasingly arise not from the data itself, but from the inferences that can be drawn from it. Even when datasets contain no explicit personal identifiers, models may infer sensitive attributes, intentions, or future behaviors, creating privacy risks that are not easily addressed through conventional data protection mechanisms. This shift challenges data scientists to reconsider privacy as an issue of what can be learned and acted upon, </w:t>
      </w:r>
      <w:r w:rsidRPr="00E12E9F">
        <w:rPr>
          <w:rFonts w:ascii="Times New Roman" w:hAnsi="Times New Roman" w:cs="Times New Roman"/>
          <w:b/>
          <w:bCs/>
        </w:rPr>
        <w:lastRenderedPageBreak/>
        <w:t>rather than solely what is collected. [CITE-HIGH: inferential privacy; privacy leakage through inference]</w:t>
      </w:r>
    </w:p>
    <w:p w14:paraId="4836E596"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In this context, data privacy must be understood as a dynamic and contextual concern that extends throughout the data science lifecycle, from model development to deployment and use. Predictive systems that influence decisions in areas such as finance, healthcare, or employment can affect individuals even when trained on aggregated or synthetic data. As a result, privacy considerations intersect with issues of transparency, accountability, and trust, particularly when users are unaware of how inferences are generated or how predictions may shape outcomes. Addressing these challenges requires moving beyond compliance-based approaches toward governance frameworks that account for inference risk, model interpretability, and the social consequences of prediction. Whether existing legal and ethical frameworks are sufficient remains an open question, suggesting the need for ongoing adaptation as data science methods continue to evolve. [CITE-MED: privacy-by-design; data governance frameworks; accountability in automated decision systems]</w:t>
      </w:r>
    </w:p>
    <w:p w14:paraId="4C358CAB" w14:textId="04B992CE" w:rsidR="00E12E9F" w:rsidRPr="00E12E9F" w:rsidRDefault="00E12E9F" w:rsidP="00103876">
      <w:pPr>
        <w:spacing w:line="480" w:lineRule="auto"/>
        <w:rPr>
          <w:rFonts w:ascii="Times New Roman" w:hAnsi="Times New Roman" w:cs="Times New Roman"/>
          <w:b/>
          <w:bCs/>
        </w:rPr>
      </w:pPr>
      <w:r w:rsidRPr="00E12E9F">
        <w:rPr>
          <w:rFonts w:ascii="Times New Roman" w:hAnsi="Times New Roman" w:cs="Times New Roman"/>
          <w:b/>
          <w:bCs/>
        </w:rPr>
        <w:t>Conclusion</w:t>
      </w:r>
    </w:p>
    <w:p w14:paraId="3D6261A6"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This paper examined three data science research studies through the lens of research design, treating them not as isolated contributions but as stages within a broader inquiry into how AI systems, particularly large language models, should be understood, trusted, and deployed. Read together, the studies illustrate a progression in research focus and methodological choice. The Atomic Thinking study demonstrates the necessity of exploratory and constructive research when a phenomenon is not yet well defined, showing that aggregate accuracy metrics can obscure structural weaknesses in reasoning. Building </w:t>
      </w:r>
      <w:r w:rsidRPr="00E12E9F">
        <w:rPr>
          <w:rFonts w:ascii="Times New Roman" w:hAnsi="Times New Roman" w:cs="Times New Roman"/>
          <w:b/>
          <w:bCs/>
        </w:rPr>
        <w:lastRenderedPageBreak/>
        <w:t>on this foundation, the EDTR confidence calibration study accepts that reasoning is imperfect and opaque and instead focuses on measuring and mitigating the risks associated with overconfident outputs through quantitative evaluation. Finally, the topology optimization study illustrates how mature, applied quantitative research operates when problems are well specified, metrics are established, and performance under constraints becomes the central concern. Each study contributes a distinct type of knowledge, and each also reveals the limits imposed by its chosen design, underscoring that no single methodology can address all dimensions of complex AI systems.</w:t>
      </w:r>
    </w:p>
    <w:p w14:paraId="0248FBDE" w14:textId="77777777" w:rsidR="00E12E9F" w:rsidRPr="00E12E9F" w:rsidRDefault="00E12E9F" w:rsidP="00E12E9F">
      <w:pPr>
        <w:spacing w:line="480" w:lineRule="auto"/>
        <w:ind w:firstLine="720"/>
        <w:rPr>
          <w:rFonts w:ascii="Times New Roman" w:hAnsi="Times New Roman" w:cs="Times New Roman"/>
          <w:b/>
          <w:bCs/>
        </w:rPr>
      </w:pPr>
      <w:r w:rsidRPr="00E12E9F">
        <w:rPr>
          <w:rFonts w:ascii="Times New Roman" w:hAnsi="Times New Roman" w:cs="Times New Roman"/>
          <w:b/>
          <w:bCs/>
        </w:rPr>
        <w:t xml:space="preserve">Taken together, these studies highlight the importance of methodological pluralism in data science research. Exploratory designs enable conceptual clarification and problem framing; quantitative predictive and inferential designs support measurement, evaluation, and intervention; and applied comparative designs assess performance and reliability in real-world contexts. Ethical and privacy considerations evolve alongside this progression, shifting </w:t>
      </w:r>
      <w:proofErr w:type="gramStart"/>
      <w:r w:rsidRPr="00E12E9F">
        <w:rPr>
          <w:rFonts w:ascii="Times New Roman" w:hAnsi="Times New Roman" w:cs="Times New Roman"/>
          <w:b/>
          <w:bCs/>
        </w:rPr>
        <w:t>from responsible characterization of capability,</w:t>
      </w:r>
      <w:proofErr w:type="gramEnd"/>
      <w:r w:rsidRPr="00E12E9F">
        <w:rPr>
          <w:rFonts w:ascii="Times New Roman" w:hAnsi="Times New Roman" w:cs="Times New Roman"/>
          <w:b/>
          <w:bCs/>
        </w:rPr>
        <w:t xml:space="preserve"> to calibrated trust, to downstream impact and governance. Understanding how research design must adapt as AI systems move from understanding, to </w:t>
      </w:r>
      <w:proofErr w:type="gramStart"/>
      <w:r w:rsidRPr="00E12E9F">
        <w:rPr>
          <w:rFonts w:ascii="Times New Roman" w:hAnsi="Times New Roman" w:cs="Times New Roman"/>
          <w:b/>
          <w:bCs/>
        </w:rPr>
        <w:t>trust,</w:t>
      </w:r>
      <w:proofErr w:type="gramEnd"/>
      <w:r w:rsidRPr="00E12E9F">
        <w:rPr>
          <w:rFonts w:ascii="Times New Roman" w:hAnsi="Times New Roman" w:cs="Times New Roman"/>
          <w:b/>
          <w:bCs/>
        </w:rPr>
        <w:t xml:space="preserve"> to deployment is essential for advancing knowledge while managing risk. Ultimately, this analysis reinforces that responsible AI development depends not on selecting a single “best” research design, but on aligning methodological choices with problem maturity, deployment stakes, and the type of insight required at each stage of inquiry. [CITE-LOW: concluding synthesis support optional]</w:t>
      </w:r>
    </w:p>
    <w:p w14:paraId="70FE41DD" w14:textId="46BE9EA9" w:rsidR="00006F00" w:rsidRPr="00006F00" w:rsidRDefault="00006F00" w:rsidP="00006F00">
      <w:pPr>
        <w:spacing w:line="480" w:lineRule="auto"/>
        <w:ind w:firstLine="720"/>
        <w:rPr>
          <w:rFonts w:ascii="Times New Roman" w:hAnsi="Times New Roman" w:cs="Times New Roman"/>
        </w:rPr>
      </w:pPr>
    </w:p>
    <w:p w14:paraId="29F6E938" w14:textId="6AC5AE80" w:rsidR="00874A40" w:rsidRPr="00A23F13" w:rsidRDefault="00874A40" w:rsidP="008E010A">
      <w:pPr>
        <w:spacing w:line="480" w:lineRule="auto"/>
        <w:ind w:firstLine="720"/>
        <w:rPr>
          <w:rFonts w:ascii="Times New Roman" w:hAnsi="Times New Roman" w:cs="Times New Roman"/>
        </w:rPr>
      </w:pPr>
      <w:r w:rsidRPr="00A23F13">
        <w:rPr>
          <w:rFonts w:ascii="Times New Roman" w:hAnsi="Times New Roman" w:cs="Times New Roman"/>
        </w:rPr>
        <w:br w:type="page"/>
      </w:r>
    </w:p>
    <w:p w14:paraId="19B3205B" w14:textId="23A49EB5" w:rsidR="00874A40" w:rsidRDefault="00874A40" w:rsidP="00874A40">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4E1DA08C" w14:textId="77777777" w:rsidR="00874A40" w:rsidRDefault="00874A40" w:rsidP="00874A40">
      <w:pPr>
        <w:spacing w:line="480" w:lineRule="auto"/>
        <w:ind w:left="720" w:hanging="720"/>
        <w:rPr>
          <w:rFonts w:ascii="Times New Roman" w:hAnsi="Times New Roman" w:cs="Times New Roman"/>
          <w:b/>
          <w:bCs/>
        </w:rPr>
      </w:pPr>
    </w:p>
    <w:p w14:paraId="56367C51" w14:textId="77777777" w:rsidR="00874A40" w:rsidRPr="00874A40" w:rsidRDefault="00874A40" w:rsidP="00874A40">
      <w:pPr>
        <w:spacing w:line="480" w:lineRule="auto"/>
        <w:jc w:val="center"/>
        <w:rPr>
          <w:rFonts w:ascii="Times New Roman" w:hAnsi="Times New Roman" w:cs="Times New Roman"/>
        </w:rPr>
      </w:pPr>
    </w:p>
    <w:sectPr w:rsidR="00874A40" w:rsidRPr="00874A4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17434" w14:textId="77777777" w:rsidR="00631C83" w:rsidRDefault="00631C83" w:rsidP="00874A40">
      <w:pPr>
        <w:spacing w:after="0" w:line="240" w:lineRule="auto"/>
      </w:pPr>
      <w:r>
        <w:separator/>
      </w:r>
    </w:p>
  </w:endnote>
  <w:endnote w:type="continuationSeparator" w:id="0">
    <w:p w14:paraId="43453E50" w14:textId="77777777" w:rsidR="00631C83" w:rsidRDefault="00631C83"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7C21E" w14:textId="77777777" w:rsidR="00631C83" w:rsidRDefault="00631C83" w:rsidP="00874A40">
      <w:pPr>
        <w:spacing w:after="0" w:line="240" w:lineRule="auto"/>
      </w:pPr>
      <w:r>
        <w:separator/>
      </w:r>
    </w:p>
  </w:footnote>
  <w:footnote w:type="continuationSeparator" w:id="0">
    <w:p w14:paraId="1A8CF3E9" w14:textId="77777777" w:rsidR="00631C83" w:rsidRDefault="00631C83"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DC8"/>
    <w:multiLevelType w:val="multilevel"/>
    <w:tmpl w:val="20C2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E69F4"/>
    <w:multiLevelType w:val="hybridMultilevel"/>
    <w:tmpl w:val="FA680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E543E8"/>
    <w:multiLevelType w:val="multilevel"/>
    <w:tmpl w:val="CA5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D19EE"/>
    <w:multiLevelType w:val="hybridMultilevel"/>
    <w:tmpl w:val="0D8E4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9C2DAE"/>
    <w:multiLevelType w:val="multilevel"/>
    <w:tmpl w:val="5B96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802DF8"/>
    <w:multiLevelType w:val="multilevel"/>
    <w:tmpl w:val="93C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85B63"/>
    <w:multiLevelType w:val="multilevel"/>
    <w:tmpl w:val="4D90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9037B"/>
    <w:multiLevelType w:val="multilevel"/>
    <w:tmpl w:val="602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246E3"/>
    <w:multiLevelType w:val="multilevel"/>
    <w:tmpl w:val="458A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B5049B"/>
    <w:multiLevelType w:val="multilevel"/>
    <w:tmpl w:val="BFBE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CF377F"/>
    <w:multiLevelType w:val="multilevel"/>
    <w:tmpl w:val="A94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2295A"/>
    <w:multiLevelType w:val="hybridMultilevel"/>
    <w:tmpl w:val="34728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9A344D4"/>
    <w:multiLevelType w:val="multilevel"/>
    <w:tmpl w:val="77E0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0B5EA0"/>
    <w:multiLevelType w:val="multilevel"/>
    <w:tmpl w:val="B152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284D79"/>
    <w:multiLevelType w:val="multilevel"/>
    <w:tmpl w:val="D31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D06B6"/>
    <w:multiLevelType w:val="multilevel"/>
    <w:tmpl w:val="537AD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B33E1A"/>
    <w:multiLevelType w:val="multilevel"/>
    <w:tmpl w:val="491E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D50C22"/>
    <w:multiLevelType w:val="multilevel"/>
    <w:tmpl w:val="5726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37C1C"/>
    <w:multiLevelType w:val="multilevel"/>
    <w:tmpl w:val="3EE0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81184"/>
    <w:multiLevelType w:val="hybridMultilevel"/>
    <w:tmpl w:val="611CE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0525431"/>
    <w:multiLevelType w:val="hybridMultilevel"/>
    <w:tmpl w:val="40AED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984226D"/>
    <w:multiLevelType w:val="multilevel"/>
    <w:tmpl w:val="AB00B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8F26FF"/>
    <w:multiLevelType w:val="multilevel"/>
    <w:tmpl w:val="8DE0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660837">
    <w:abstractNumId w:val="1"/>
  </w:num>
  <w:num w:numId="2" w16cid:durableId="1550529862">
    <w:abstractNumId w:val="19"/>
  </w:num>
  <w:num w:numId="3" w16cid:durableId="730082549">
    <w:abstractNumId w:val="20"/>
  </w:num>
  <w:num w:numId="4" w16cid:durableId="485366762">
    <w:abstractNumId w:val="3"/>
  </w:num>
  <w:num w:numId="5" w16cid:durableId="932392817">
    <w:abstractNumId w:val="11"/>
  </w:num>
  <w:num w:numId="6" w16cid:durableId="675117396">
    <w:abstractNumId w:val="12"/>
  </w:num>
  <w:num w:numId="7" w16cid:durableId="1877966119">
    <w:abstractNumId w:val="16"/>
  </w:num>
  <w:num w:numId="8" w16cid:durableId="537012432">
    <w:abstractNumId w:val="2"/>
  </w:num>
  <w:num w:numId="9" w16cid:durableId="985163737">
    <w:abstractNumId w:val="21"/>
  </w:num>
  <w:num w:numId="10" w16cid:durableId="2058124019">
    <w:abstractNumId w:val="10"/>
  </w:num>
  <w:num w:numId="11" w16cid:durableId="1328245075">
    <w:abstractNumId w:val="7"/>
  </w:num>
  <w:num w:numId="12" w16cid:durableId="453787498">
    <w:abstractNumId w:val="15"/>
  </w:num>
  <w:num w:numId="13" w16cid:durableId="120416370">
    <w:abstractNumId w:val="22"/>
  </w:num>
  <w:num w:numId="14" w16cid:durableId="1864441227">
    <w:abstractNumId w:val="8"/>
  </w:num>
  <w:num w:numId="15" w16cid:durableId="1574242325">
    <w:abstractNumId w:val="6"/>
  </w:num>
  <w:num w:numId="16" w16cid:durableId="1150749426">
    <w:abstractNumId w:val="4"/>
  </w:num>
  <w:num w:numId="17" w16cid:durableId="1201359569">
    <w:abstractNumId w:val="5"/>
  </w:num>
  <w:num w:numId="18" w16cid:durableId="1958026264">
    <w:abstractNumId w:val="0"/>
  </w:num>
  <w:num w:numId="19" w16cid:durableId="2100562219">
    <w:abstractNumId w:val="18"/>
  </w:num>
  <w:num w:numId="20" w16cid:durableId="526413906">
    <w:abstractNumId w:val="13"/>
  </w:num>
  <w:num w:numId="21" w16cid:durableId="1673993675">
    <w:abstractNumId w:val="14"/>
  </w:num>
  <w:num w:numId="22" w16cid:durableId="1847405829">
    <w:abstractNumId w:val="9"/>
  </w:num>
  <w:num w:numId="23" w16cid:durableId="10646396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00D9E"/>
    <w:rsid w:val="00006F00"/>
    <w:rsid w:val="00010AD4"/>
    <w:rsid w:val="00021DA7"/>
    <w:rsid w:val="000268E4"/>
    <w:rsid w:val="00042851"/>
    <w:rsid w:val="000C6B52"/>
    <w:rsid w:val="000D3C1F"/>
    <w:rsid w:val="000F17B9"/>
    <w:rsid w:val="00103876"/>
    <w:rsid w:val="00122A26"/>
    <w:rsid w:val="00132EE7"/>
    <w:rsid w:val="00141F7A"/>
    <w:rsid w:val="00171A5E"/>
    <w:rsid w:val="001947A5"/>
    <w:rsid w:val="001B5E1B"/>
    <w:rsid w:val="001D08FA"/>
    <w:rsid w:val="001D50B4"/>
    <w:rsid w:val="001E4A23"/>
    <w:rsid w:val="001E5447"/>
    <w:rsid w:val="00204BC3"/>
    <w:rsid w:val="00246A87"/>
    <w:rsid w:val="002603EF"/>
    <w:rsid w:val="00284BAB"/>
    <w:rsid w:val="0029193E"/>
    <w:rsid w:val="002A75B2"/>
    <w:rsid w:val="002A76B7"/>
    <w:rsid w:val="002B71AA"/>
    <w:rsid w:val="00310285"/>
    <w:rsid w:val="003545C9"/>
    <w:rsid w:val="00383C12"/>
    <w:rsid w:val="00395591"/>
    <w:rsid w:val="003A3AC9"/>
    <w:rsid w:val="003D1548"/>
    <w:rsid w:val="003D3C9F"/>
    <w:rsid w:val="00403A51"/>
    <w:rsid w:val="0040612A"/>
    <w:rsid w:val="00435BFF"/>
    <w:rsid w:val="004401C0"/>
    <w:rsid w:val="004513AA"/>
    <w:rsid w:val="00455D77"/>
    <w:rsid w:val="004671A1"/>
    <w:rsid w:val="00477C7E"/>
    <w:rsid w:val="00482373"/>
    <w:rsid w:val="00486FE3"/>
    <w:rsid w:val="004A4366"/>
    <w:rsid w:val="004F18B1"/>
    <w:rsid w:val="005050EF"/>
    <w:rsid w:val="00536EBE"/>
    <w:rsid w:val="00544911"/>
    <w:rsid w:val="00555F2C"/>
    <w:rsid w:val="00584308"/>
    <w:rsid w:val="005A64D6"/>
    <w:rsid w:val="005B79C2"/>
    <w:rsid w:val="005C1A8E"/>
    <w:rsid w:val="005F2C99"/>
    <w:rsid w:val="00631C83"/>
    <w:rsid w:val="00680503"/>
    <w:rsid w:val="006B3DE2"/>
    <w:rsid w:val="006B5F5D"/>
    <w:rsid w:val="006C0917"/>
    <w:rsid w:val="006D4659"/>
    <w:rsid w:val="006E23D5"/>
    <w:rsid w:val="007515AD"/>
    <w:rsid w:val="00751ADD"/>
    <w:rsid w:val="0076181E"/>
    <w:rsid w:val="007633BC"/>
    <w:rsid w:val="00777A98"/>
    <w:rsid w:val="00792DD0"/>
    <w:rsid w:val="007953EA"/>
    <w:rsid w:val="007D4E41"/>
    <w:rsid w:val="007D6E17"/>
    <w:rsid w:val="008061DF"/>
    <w:rsid w:val="00824CDF"/>
    <w:rsid w:val="008522A1"/>
    <w:rsid w:val="00874A40"/>
    <w:rsid w:val="00884AC2"/>
    <w:rsid w:val="008C701F"/>
    <w:rsid w:val="008D2087"/>
    <w:rsid w:val="008E010A"/>
    <w:rsid w:val="00927A11"/>
    <w:rsid w:val="00963855"/>
    <w:rsid w:val="00993A29"/>
    <w:rsid w:val="009C5056"/>
    <w:rsid w:val="009C6CA0"/>
    <w:rsid w:val="009E69A6"/>
    <w:rsid w:val="00A23F13"/>
    <w:rsid w:val="00A55706"/>
    <w:rsid w:val="00AA1922"/>
    <w:rsid w:val="00AB4AFA"/>
    <w:rsid w:val="00AC0960"/>
    <w:rsid w:val="00AC1577"/>
    <w:rsid w:val="00B007F0"/>
    <w:rsid w:val="00B32AFE"/>
    <w:rsid w:val="00B34AF1"/>
    <w:rsid w:val="00B570BD"/>
    <w:rsid w:val="00B777F9"/>
    <w:rsid w:val="00B92173"/>
    <w:rsid w:val="00B925CA"/>
    <w:rsid w:val="00BA2483"/>
    <w:rsid w:val="00BB11CA"/>
    <w:rsid w:val="00BC1D78"/>
    <w:rsid w:val="00C71A74"/>
    <w:rsid w:val="00C8244D"/>
    <w:rsid w:val="00C85F75"/>
    <w:rsid w:val="00C960F7"/>
    <w:rsid w:val="00CA6D2E"/>
    <w:rsid w:val="00CC6F3A"/>
    <w:rsid w:val="00CF428F"/>
    <w:rsid w:val="00D269EC"/>
    <w:rsid w:val="00D52A26"/>
    <w:rsid w:val="00D72CC2"/>
    <w:rsid w:val="00D7527C"/>
    <w:rsid w:val="00DC7616"/>
    <w:rsid w:val="00DD412D"/>
    <w:rsid w:val="00DF4F11"/>
    <w:rsid w:val="00E12E9F"/>
    <w:rsid w:val="00E171CE"/>
    <w:rsid w:val="00E74FD3"/>
    <w:rsid w:val="00EA0977"/>
    <w:rsid w:val="00EB2732"/>
    <w:rsid w:val="00EB6CAF"/>
    <w:rsid w:val="00EB75DB"/>
    <w:rsid w:val="00ED2244"/>
    <w:rsid w:val="00ED5C2A"/>
    <w:rsid w:val="00EE3D0C"/>
    <w:rsid w:val="00EE7213"/>
    <w:rsid w:val="00EF1289"/>
    <w:rsid w:val="00EF27E4"/>
    <w:rsid w:val="00F05CD3"/>
    <w:rsid w:val="00F13C14"/>
    <w:rsid w:val="00F36E0B"/>
    <w:rsid w:val="00F735D9"/>
    <w:rsid w:val="00F77440"/>
    <w:rsid w:val="00F8055D"/>
    <w:rsid w:val="00F81E44"/>
    <w:rsid w:val="00FB6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8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 w:type="character" w:styleId="Hyperlink">
    <w:name w:val="Hyperlink"/>
    <w:basedOn w:val="DefaultParagraphFont"/>
    <w:uiPriority w:val="99"/>
    <w:unhideWhenUsed/>
    <w:rsid w:val="00FB6B57"/>
    <w:rPr>
      <w:color w:val="467886" w:themeColor="hyperlink"/>
      <w:u w:val="single"/>
    </w:rPr>
  </w:style>
  <w:style w:type="character" w:styleId="UnresolvedMention">
    <w:name w:val="Unresolved Mention"/>
    <w:basedOn w:val="DefaultParagraphFont"/>
    <w:uiPriority w:val="99"/>
    <w:semiHidden/>
    <w:unhideWhenUsed/>
    <w:rsid w:val="00FB6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20</Pages>
  <Words>4219</Words>
  <Characters>26480</Characters>
  <Application>Microsoft Office Word</Application>
  <DocSecurity>0</DocSecurity>
  <Lines>411</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34</cp:revision>
  <dcterms:created xsi:type="dcterms:W3CDTF">2025-12-20T20:37:00Z</dcterms:created>
  <dcterms:modified xsi:type="dcterms:W3CDTF">2025-12-21T19:03:00Z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6b263c9e-ec63-468d-9a02-fd541b822840</vt:lpwstr>
  </property>
</Properties>
</file>