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E757" w14:textId="77777777" w:rsidR="001228DB" w:rsidRDefault="001228DB" w:rsidP="00AF0609">
      <w:pPr>
        <w:spacing w:before="120" w:after="120" w:line="480" w:lineRule="auto"/>
      </w:pPr>
    </w:p>
    <w:p w14:paraId="3D57E758" w14:textId="77777777" w:rsidR="001228DB" w:rsidRDefault="001228DB" w:rsidP="00AF0609">
      <w:pPr>
        <w:spacing w:before="120" w:after="120" w:line="480" w:lineRule="auto"/>
      </w:pPr>
    </w:p>
    <w:p w14:paraId="3D57E759" w14:textId="77777777" w:rsidR="001228DB" w:rsidRDefault="001228DB" w:rsidP="00AF0609">
      <w:pPr>
        <w:spacing w:before="120" w:after="120" w:line="480" w:lineRule="auto"/>
      </w:pPr>
    </w:p>
    <w:p w14:paraId="3D57E75A" w14:textId="77777777" w:rsidR="001228DB" w:rsidRDefault="001228DB" w:rsidP="00AF0609">
      <w:pPr>
        <w:spacing w:before="120" w:after="120" w:line="480" w:lineRule="auto"/>
      </w:pPr>
    </w:p>
    <w:p w14:paraId="3D57E75B" w14:textId="77777777" w:rsidR="001228DB" w:rsidRDefault="001228DB" w:rsidP="00AF0609">
      <w:pPr>
        <w:spacing w:before="120" w:after="120" w:line="480" w:lineRule="auto"/>
      </w:pPr>
    </w:p>
    <w:p w14:paraId="3D57E75C" w14:textId="77777777" w:rsidR="001228DB" w:rsidRDefault="0028673E" w:rsidP="00AF0609">
      <w:pPr>
        <w:spacing w:before="120" w:after="120" w:line="480" w:lineRule="auto"/>
        <w:jc w:val="center"/>
      </w:pPr>
      <w:r>
        <w:rPr>
          <w:b/>
          <w:bCs/>
        </w:rPr>
        <w:t xml:space="preserve">Exploring, Measuring, and Optimizing Reasoning in Large Language Models: </w:t>
      </w:r>
    </w:p>
    <w:p w14:paraId="3D57E75D" w14:textId="77777777" w:rsidR="001228DB" w:rsidRDefault="0028673E" w:rsidP="00AF0609">
      <w:pPr>
        <w:spacing w:before="120" w:after="120" w:line="480" w:lineRule="auto"/>
        <w:jc w:val="center"/>
      </w:pPr>
      <w:r>
        <w:rPr>
          <w:b/>
          <w:bCs/>
        </w:rPr>
        <w:t>A Comparison of Data Science Research Designs</w:t>
      </w:r>
    </w:p>
    <w:p w14:paraId="3D57E75E" w14:textId="77777777" w:rsidR="001228DB" w:rsidRDefault="0028673E" w:rsidP="00AF0609">
      <w:pPr>
        <w:spacing w:before="120" w:after="120" w:line="480" w:lineRule="auto"/>
        <w:jc w:val="center"/>
      </w:pPr>
      <w:r>
        <w:t>Juan Maldonado Franco</w:t>
      </w:r>
    </w:p>
    <w:p w14:paraId="3D57E75F" w14:textId="77777777" w:rsidR="001228DB" w:rsidRDefault="0028673E" w:rsidP="00AF0609">
      <w:pPr>
        <w:spacing w:before="120" w:after="120" w:line="480" w:lineRule="auto"/>
        <w:jc w:val="center"/>
      </w:pPr>
      <w:r>
        <w:t>Department of Technology, National University</w:t>
      </w:r>
    </w:p>
    <w:p w14:paraId="3D57E760" w14:textId="77777777" w:rsidR="001228DB" w:rsidRDefault="0028673E" w:rsidP="00AF0609">
      <w:pPr>
        <w:spacing w:before="120" w:after="120" w:line="480" w:lineRule="auto"/>
        <w:jc w:val="center"/>
      </w:pPr>
      <w:r>
        <w:t>DDS-8500: Principles of Data Science</w:t>
      </w:r>
    </w:p>
    <w:p w14:paraId="3D57E761" w14:textId="77777777" w:rsidR="001228DB" w:rsidRDefault="0028673E" w:rsidP="00AF0609">
      <w:pPr>
        <w:spacing w:before="120" w:after="120" w:line="480" w:lineRule="auto"/>
        <w:jc w:val="center"/>
      </w:pPr>
      <w:r>
        <w:t>Dr. Javier E. León</w:t>
      </w:r>
    </w:p>
    <w:p w14:paraId="3D57E762" w14:textId="77777777" w:rsidR="001228DB" w:rsidRDefault="0028673E" w:rsidP="00AF0609">
      <w:pPr>
        <w:spacing w:before="120" w:after="120" w:line="480" w:lineRule="auto"/>
        <w:jc w:val="center"/>
      </w:pPr>
      <w:r>
        <w:t>12/21/2025</w:t>
      </w:r>
    </w:p>
    <w:p w14:paraId="3D57E763" w14:textId="313B44C0" w:rsidR="00AF0609" w:rsidRDefault="00AF0609">
      <w:r>
        <w:br w:type="page"/>
      </w:r>
    </w:p>
    <w:p w14:paraId="3D57E764" w14:textId="77777777" w:rsidR="001228DB" w:rsidRDefault="0028673E" w:rsidP="00AF0609">
      <w:pPr>
        <w:spacing w:before="120" w:after="120" w:line="480" w:lineRule="auto"/>
        <w:jc w:val="center"/>
      </w:pPr>
      <w:r>
        <w:rPr>
          <w:b/>
          <w:bCs/>
        </w:rPr>
        <w:lastRenderedPageBreak/>
        <w:t>Exploring, Measuring, and Optimizing Reasoning in Large Language Models:</w:t>
      </w:r>
    </w:p>
    <w:p w14:paraId="3D57E765" w14:textId="77777777" w:rsidR="001228DB" w:rsidRDefault="0028673E" w:rsidP="00AF0609">
      <w:pPr>
        <w:spacing w:before="120" w:after="120" w:line="480" w:lineRule="auto"/>
        <w:jc w:val="center"/>
      </w:pPr>
      <w:r>
        <w:rPr>
          <w:b/>
          <w:bCs/>
        </w:rPr>
        <w:t>A Comparison of Data Science Research Designs</w:t>
      </w:r>
    </w:p>
    <w:p w14:paraId="3D57E766" w14:textId="77777777" w:rsidR="001228DB" w:rsidRDefault="0028673E" w:rsidP="00AF0609">
      <w:pPr>
        <w:spacing w:before="120" w:after="120" w:line="480" w:lineRule="auto"/>
        <w:ind w:firstLine="720"/>
      </w:pPr>
      <w:r>
        <w:t>Data science research designs serve as methodological tools that are adapted to specific stages of inquiry and distinct research problems, rather than functioning as interchangeable templates. This distinction is especially important in artificial intelligence research, where a single system may be analyzed as a reasoning mechanism, a decision-support tool, or an engineering component within operational workflows. Research typically progresses through a sequence: clarifying system behavior, assessing output</w:t>
      </w:r>
      <w:r>
        <w:t xml:space="preserve"> reliability, and evaluating performance under application constraints. The choice of research design is determined by the problem's stage within this progression and the type of knowledge that can be generated at each phase.</w:t>
      </w:r>
    </w:p>
    <w:p w14:paraId="3D57E767" w14:textId="77777777" w:rsidR="001228DB" w:rsidRDefault="0028673E" w:rsidP="00AF0609">
      <w:pPr>
        <w:spacing w:before="120" w:after="120" w:line="480" w:lineRule="auto"/>
        <w:ind w:firstLine="720"/>
      </w:pPr>
      <w:r>
        <w:t xml:space="preserve">This paper compares three data science research studies to illustrate how exploratory and quantitative research designs yield distinct yet complementary insights into AI systems. The studies reviewed are Atomic Thinking of LLMs: Decoupling and Exploring Mathematical Reasoning Abilities (Kuang et al., 2025), </w:t>
      </w:r>
      <w:r>
        <w:rPr>
          <w:i/>
          <w:iCs/>
        </w:rPr>
        <w:t>Optimizing Chain-of-Thought Confidence via Topological and Dirichlet Risk Analysis</w:t>
      </w:r>
      <w:r>
        <w:t xml:space="preserve"> (More et al., 2025), and </w:t>
      </w:r>
      <w:r>
        <w:rPr>
          <w:i/>
          <w:iCs/>
        </w:rPr>
        <w:t>Data-Driven AI for Topology Optimization: A Comparative Study of CNN and Self-Attention Enhanced Architectures in Data-Constrained Scenarios</w:t>
      </w:r>
      <w:r>
        <w:t xml:space="preserve"> (Jing &amp; Guo, 2024). Although these studies address different application domains, together they form a coherent narrative. The first examines the nature of reasoning in large language models, the second evaluates the trustworthiness of that reasoning, and the thi</w:t>
      </w:r>
      <w:r>
        <w:t>rd demonstrates quantitative evaluation in an applied optimization context.</w:t>
      </w:r>
    </w:p>
    <w:p w14:paraId="3D57E768" w14:textId="77777777" w:rsidR="001228DB" w:rsidRDefault="0028673E" w:rsidP="00AF0609">
      <w:pPr>
        <w:spacing w:before="120" w:after="120" w:line="480" w:lineRule="auto"/>
        <w:ind w:firstLine="720"/>
      </w:pPr>
      <w:r>
        <w:t xml:space="preserve">By comparing the research problems, questions, hypotheses, and ethical considerations across these studies, this analysis demonstrates how research design evolves as AI systems advance from initial understanding to trust and, ultimately, to deployment. Rather than treating </w:t>
      </w:r>
      <w:r>
        <w:lastRenderedPageBreak/>
        <w:t>research designs as competing methodologies, this discussion frames them as interconnected stages within the broader data science research lifecycle.</w:t>
      </w:r>
    </w:p>
    <w:p w14:paraId="3D57E769" w14:textId="77777777" w:rsidR="001228DB" w:rsidRDefault="0028673E" w:rsidP="00AF0609">
      <w:pPr>
        <w:spacing w:before="120" w:after="120" w:line="480" w:lineRule="auto"/>
      </w:pPr>
      <w:r>
        <w:rPr>
          <w:b/>
          <w:bCs/>
        </w:rPr>
        <w:t>Research Problems Across the Three Studies</w:t>
      </w:r>
    </w:p>
    <w:p w14:paraId="3D57E76A" w14:textId="77777777" w:rsidR="001228DB" w:rsidRDefault="0028673E" w:rsidP="00AF0609">
      <w:pPr>
        <w:spacing w:before="120" w:after="120" w:line="480" w:lineRule="auto"/>
        <w:ind w:firstLine="720"/>
      </w:pPr>
      <w:r>
        <w:t>The Atomic Thinking study addresses the limited explanatory power of current evaluations of large language model reasoning. Existing research frequently relies on end-to-end benchmark accuracy, which indicates whether a model produces correct answers but provides little insight into the mechanisms underlying reasoning success or failure. Without decomposing reasoning into interpretable components, it is challenging to assess reliability, identify domain-specific weaknesses, or explain performance variabilit</w:t>
      </w:r>
      <w:r>
        <w:t>y. Therefore, the central issue is interpretability and diagnostic clarity rather than computational capability alone.</w:t>
      </w:r>
    </w:p>
    <w:p w14:paraId="3D57E76B" w14:textId="77777777" w:rsidR="001228DB" w:rsidRDefault="0028673E" w:rsidP="00AF0609">
      <w:pPr>
        <w:spacing w:before="120" w:after="120" w:line="480" w:lineRule="auto"/>
        <w:ind w:firstLine="720"/>
      </w:pPr>
      <w:r>
        <w:t>The EDTR confidence calibration study focuses on risk management rather than the internal structure of reasoning. As models become more advanced, they increasingly generate outputs that appear coherent and persuasive, regardless of their accuracy. A primary concern is the gap between the model's expressed confidence and its actual accuracy, particularly when users may rely on these outputs. The study examines whether uncertainty can be quantified and calibrated to support safer interpretation and deployment</w:t>
      </w:r>
      <w:r>
        <w:t xml:space="preserve"> of reasoning produced by large language models.</w:t>
      </w:r>
    </w:p>
    <w:p w14:paraId="3D57E76C" w14:textId="77777777" w:rsidR="001228DB" w:rsidRDefault="0028673E" w:rsidP="00AF0609">
      <w:pPr>
        <w:spacing w:before="120" w:after="120" w:line="480" w:lineRule="auto"/>
        <w:ind w:firstLine="720"/>
      </w:pPr>
      <w:r>
        <w:t xml:space="preserve">The topology optimization study addresses challenges in applied engineering, where computational cost, predictive accuracy, and data availability are critical constraints. Traditional optimization methods are computationally intensive, and data-driven approaches often require large training datasets, which may not be practical. This study investigates whether neural network models can approximate topology optimization solutions under data-constrained </w:t>
      </w:r>
      <w:r>
        <w:lastRenderedPageBreak/>
        <w:t>conditions and whether architectural enhancements, such as self-attention, yield significant performance improvements.</w:t>
      </w:r>
    </w:p>
    <w:p w14:paraId="3D57E76D" w14:textId="77777777" w:rsidR="001228DB" w:rsidRDefault="0028673E" w:rsidP="00AF0609">
      <w:pPr>
        <w:spacing w:before="120" w:after="120" w:line="480" w:lineRule="auto"/>
        <w:ind w:firstLine="720"/>
      </w:pPr>
      <w:r>
        <w:t>From a comparative perspective, these research problems align with distinct stages of inquiry. The Atomic Thinking study addresses conceptual ambiguity by defining and structuring the phenomenon. The EDTR study examines an operationalized problem that necessitates quantitative evaluation. The topology optimization study investigates a mature, application-driven problem with established objectives and constraints. Collectively, these studies demonstrate that research design should be chosen based on the natu</w:t>
      </w:r>
      <w:r>
        <w:t>re and maturity of the problem, rather than applied uniformly across domains (Byrne, 2017).</w:t>
      </w:r>
    </w:p>
    <w:p w14:paraId="3D57E76E" w14:textId="77777777" w:rsidR="001228DB" w:rsidRDefault="0028673E" w:rsidP="00AF0609">
      <w:pPr>
        <w:spacing w:before="120" w:after="120" w:line="480" w:lineRule="auto"/>
      </w:pPr>
      <w:r>
        <w:rPr>
          <w:b/>
          <w:bCs/>
        </w:rPr>
        <w:t>Article Analyses</w:t>
      </w:r>
    </w:p>
    <w:p w14:paraId="3D57E76F" w14:textId="77777777" w:rsidR="001228DB" w:rsidRDefault="0028673E" w:rsidP="00AF0609">
      <w:pPr>
        <w:spacing w:before="120" w:after="120" w:line="480" w:lineRule="auto"/>
      </w:pPr>
      <w:r>
        <w:rPr>
          <w:b/>
          <w:bCs/>
        </w:rPr>
        <w:t>Article 1: Atomic Thinking of LLMs</w:t>
      </w:r>
    </w:p>
    <w:p w14:paraId="3D57E770" w14:textId="77777777" w:rsidR="001228DB" w:rsidRPr="004C7775" w:rsidRDefault="0028673E" w:rsidP="00AF0609">
      <w:pPr>
        <w:spacing w:before="120" w:after="120" w:line="480" w:lineRule="auto"/>
        <w:rPr>
          <w:b/>
          <w:bCs/>
          <w:i/>
          <w:iCs/>
        </w:rPr>
      </w:pPr>
      <w:r w:rsidRPr="004C7775">
        <w:rPr>
          <w:b/>
          <w:bCs/>
          <w:i/>
          <w:iCs/>
        </w:rPr>
        <w:t>Research Design and Justification</w:t>
      </w:r>
    </w:p>
    <w:p w14:paraId="3D57E771" w14:textId="77777777" w:rsidR="001228DB" w:rsidRDefault="0028673E" w:rsidP="00AF0609">
      <w:pPr>
        <w:spacing w:before="120" w:after="120" w:line="480" w:lineRule="auto"/>
        <w:ind w:firstLine="720"/>
      </w:pPr>
      <w:r>
        <w:t>The Atomic Thinking study uses an exploratory and constructive research design because its goal is not to validate a known causal relationship or optimize a predefined performance target, but to clarify what “reasoning” in LLMs should mean in the first place. When a research domain lacks stable definitions of its key constructs, in this case, whether reasoning is a single capability or a composition of smaller skills, an exploratory design becomes the appropriate tool for structuring the research space rath</w:t>
      </w:r>
      <w:r>
        <w:t>er than testing claims within it (Byrne, 2017).</w:t>
      </w:r>
    </w:p>
    <w:p w14:paraId="3D57E772" w14:textId="77777777" w:rsidR="001228DB" w:rsidRDefault="0028673E" w:rsidP="00AF0609">
      <w:pPr>
        <w:spacing w:before="120" w:after="120" w:line="480" w:lineRule="auto"/>
        <w:ind w:firstLine="720"/>
      </w:pPr>
      <w:r>
        <w:t xml:space="preserve">This design is constructive because it not only describes model performance but also establishes a framework that decomposes reasoning into atomic components, facilitating diagnosis of strengths and gaps across domains. This contribution enables more precise inquiry into failure modes and capability boundaries. However, the design limits the epistemic status of </w:t>
      </w:r>
      <w:r>
        <w:lastRenderedPageBreak/>
        <w:t>its findings: the results identify patterns and weaknesses but do not establish generalizable causal claims or statistically validated relationships. The study is therefore most effective as a foundation-setting effort rather than a confirmatory one.</w:t>
      </w:r>
    </w:p>
    <w:p w14:paraId="3D57E773" w14:textId="77777777" w:rsidR="001228DB" w:rsidRPr="004C7775" w:rsidRDefault="0028673E" w:rsidP="00AF0609">
      <w:pPr>
        <w:spacing w:before="120" w:after="120" w:line="480" w:lineRule="auto"/>
        <w:rPr>
          <w:b/>
          <w:bCs/>
          <w:i/>
          <w:iCs/>
        </w:rPr>
      </w:pPr>
      <w:r w:rsidRPr="004C7775">
        <w:rPr>
          <w:b/>
          <w:bCs/>
          <w:i/>
          <w:iCs/>
        </w:rPr>
        <w:t>Research Questions</w:t>
      </w:r>
    </w:p>
    <w:p w14:paraId="3D57E774" w14:textId="77777777" w:rsidR="001228DB" w:rsidRDefault="0028673E" w:rsidP="00AF0609">
      <w:pPr>
        <w:spacing w:before="120" w:after="120" w:line="480" w:lineRule="auto"/>
        <w:ind w:firstLine="720"/>
      </w:pPr>
      <w:r>
        <w:t>The study does not present a list of enumerated research questions in the conventional sense. Instead, it centers on a broad constructive inquiry:</w:t>
      </w:r>
    </w:p>
    <w:p w14:paraId="3D57E775" w14:textId="77777777" w:rsidR="001228DB" w:rsidRDefault="0028673E" w:rsidP="00AF0609">
      <w:pPr>
        <w:spacing w:before="120" w:after="120" w:line="480" w:lineRule="auto"/>
      </w:pPr>
      <w:r>
        <w:rPr>
          <w:b/>
          <w:bCs/>
        </w:rPr>
        <w:t>Primary research question:</w:t>
      </w:r>
    </w:p>
    <w:p w14:paraId="3D57E776" w14:textId="77777777" w:rsidR="001228DB" w:rsidRDefault="0028673E" w:rsidP="00AF0609">
      <w:pPr>
        <w:spacing w:before="120" w:after="120" w:line="480" w:lineRule="auto"/>
        <w:ind w:firstLine="720"/>
      </w:pPr>
      <w:r>
        <w:t>What constitutes mathematical reasoning in large language models, and how can it be decomposed into interpretable atomic components?</w:t>
      </w:r>
    </w:p>
    <w:p w14:paraId="3D57E777" w14:textId="77777777" w:rsidR="001228DB" w:rsidRDefault="0028673E" w:rsidP="00AF0609">
      <w:pPr>
        <w:spacing w:before="120" w:after="120" w:line="480" w:lineRule="auto"/>
      </w:pPr>
      <w:r>
        <w:t>From this central question, exploratory sub-questions arise during analysis, such as how different atomic capabilities interact and where systematic reasoning gaps emerge as task difficulty increases. The open-ended nature of these questions reflects the study’s exploratory orientation.</w:t>
      </w:r>
    </w:p>
    <w:p w14:paraId="3D57E778" w14:textId="77777777" w:rsidR="001228DB" w:rsidRPr="004C7775" w:rsidRDefault="0028673E" w:rsidP="00AF0609">
      <w:pPr>
        <w:spacing w:before="120" w:after="120" w:line="480" w:lineRule="auto"/>
        <w:rPr>
          <w:b/>
          <w:bCs/>
          <w:i/>
          <w:iCs/>
        </w:rPr>
      </w:pPr>
      <w:r w:rsidRPr="004C7775">
        <w:rPr>
          <w:b/>
          <w:bCs/>
          <w:i/>
          <w:iCs/>
        </w:rPr>
        <w:t>Hypotheses</w:t>
      </w:r>
    </w:p>
    <w:p w14:paraId="3D57E779" w14:textId="77777777" w:rsidR="001228DB" w:rsidRDefault="0028673E" w:rsidP="00AF0609">
      <w:pPr>
        <w:spacing w:before="120" w:after="120" w:line="480" w:lineRule="auto"/>
        <w:ind w:firstLine="720"/>
      </w:pPr>
      <w:r>
        <w:t>The study does not present a formal null or alternative hypothesis; this absence is analytically significant because, without predefined variables or relationships, hypothesis testing would be premature. Instead, the study generates candidate explanations to inform future quantitative investigations, consistent with the role of exploratory research in early-stage problem formulation (Byrne, 2017).</w:t>
      </w:r>
    </w:p>
    <w:p w14:paraId="3D57E77A" w14:textId="77777777" w:rsidR="001228DB" w:rsidRPr="007711A2" w:rsidRDefault="0028673E" w:rsidP="00AF0609">
      <w:pPr>
        <w:spacing w:before="120" w:after="120" w:line="480" w:lineRule="auto"/>
        <w:rPr>
          <w:i/>
          <w:iCs/>
        </w:rPr>
      </w:pPr>
      <w:r w:rsidRPr="007711A2">
        <w:rPr>
          <w:b/>
          <w:bCs/>
          <w:i/>
          <w:iCs/>
        </w:rPr>
        <w:t>Data Ethics and Sector Context</w:t>
      </w:r>
    </w:p>
    <w:p w14:paraId="3D57E77B" w14:textId="77777777" w:rsidR="001228DB" w:rsidRDefault="0028673E" w:rsidP="00AF0609">
      <w:pPr>
        <w:spacing w:before="120" w:after="120" w:line="480" w:lineRule="auto"/>
      </w:pPr>
      <w:r>
        <w:rPr>
          <w:b/>
          <w:bCs/>
        </w:rPr>
        <w:t>Sector/field context.</w:t>
      </w:r>
    </w:p>
    <w:p w14:paraId="3D57E77C" w14:textId="77777777" w:rsidR="001228DB" w:rsidRDefault="0028673E" w:rsidP="00AF0609">
      <w:pPr>
        <w:spacing w:before="120" w:after="120" w:line="480" w:lineRule="auto"/>
        <w:ind w:firstLine="720"/>
      </w:pPr>
      <w:r>
        <w:lastRenderedPageBreak/>
        <w:t xml:space="preserve">This study is situated in AI research and model evaluation, relying on benchmark-style tasks and synthetic or curated datasets. Because the data </w:t>
      </w:r>
      <w:proofErr w:type="gramStart"/>
      <w:r>
        <w:t>do</w:t>
      </w:r>
      <w:proofErr w:type="gramEnd"/>
      <w:r>
        <w:t xml:space="preserve"> not involve human subjects, they do not directly implicate privacy or consent regulations.</w:t>
      </w:r>
    </w:p>
    <w:p w14:paraId="3D57E77D" w14:textId="77777777" w:rsidR="001228DB" w:rsidRPr="007711A2" w:rsidRDefault="0028673E" w:rsidP="00AF0609">
      <w:pPr>
        <w:spacing w:before="120" w:after="120" w:line="480" w:lineRule="auto"/>
        <w:rPr>
          <w:i/>
          <w:iCs/>
        </w:rPr>
      </w:pPr>
      <w:r w:rsidRPr="007711A2">
        <w:rPr>
          <w:b/>
          <w:bCs/>
          <w:i/>
          <w:iCs/>
        </w:rPr>
        <w:t>Ethical issues and relevant laws/policies.</w:t>
      </w:r>
    </w:p>
    <w:p w14:paraId="3D57E77E" w14:textId="77777777" w:rsidR="001228DB" w:rsidRDefault="0028673E" w:rsidP="00AF0609">
      <w:pPr>
        <w:spacing w:before="120" w:after="120" w:line="480" w:lineRule="auto"/>
        <w:ind w:firstLine="720"/>
      </w:pPr>
      <w:r>
        <w:t>The primary ethical concern involves the framing and communication of claims about “reasoning.” Overstating the reasoning capabilities of AI systems may result in premature or inappropriate deployment. Governance frameworks such as the NIST AI Risk Management Framework emphasize trustworthy evaluation and documentation throughout the AI lifecycle (National Institute of Standards and Technology, 2023). Similarly, the EU Artificial Intelligence Act adopts a risk-based approach that considers system impacts be</w:t>
      </w:r>
      <w:r>
        <w:t>yond data protection, particularly for high-risk applications (European Union, 2024). Although this study does not involve system deployment, it informs interpretability and evaluation practices that become essential as systems approach regulated contexts.</w:t>
      </w:r>
    </w:p>
    <w:p w14:paraId="3D57E77F" w14:textId="77777777" w:rsidR="001228DB" w:rsidRDefault="0028673E" w:rsidP="00AF0609">
      <w:pPr>
        <w:spacing w:before="120" w:after="120" w:line="480" w:lineRule="auto"/>
      </w:pPr>
      <w:r>
        <w:rPr>
          <w:b/>
          <w:bCs/>
        </w:rPr>
        <w:t>Article 2: Optimizing Chain-of-Thought Confidence via EDTR</w:t>
      </w:r>
    </w:p>
    <w:p w14:paraId="3D57E780" w14:textId="77777777" w:rsidR="001228DB" w:rsidRPr="007711A2" w:rsidRDefault="0028673E" w:rsidP="00AF0609">
      <w:pPr>
        <w:spacing w:before="120" w:after="120" w:line="480" w:lineRule="auto"/>
        <w:rPr>
          <w:i/>
          <w:iCs/>
        </w:rPr>
      </w:pPr>
      <w:r w:rsidRPr="007711A2">
        <w:rPr>
          <w:b/>
          <w:bCs/>
          <w:i/>
          <w:iCs/>
        </w:rPr>
        <w:t>Research Design and Justification</w:t>
      </w:r>
    </w:p>
    <w:p w14:paraId="3D57E781" w14:textId="77777777" w:rsidR="001228DB" w:rsidRDefault="0028673E" w:rsidP="00AF0609">
      <w:pPr>
        <w:spacing w:before="120" w:after="120" w:line="480" w:lineRule="auto"/>
        <w:ind w:firstLine="720"/>
      </w:pPr>
      <w:r>
        <w:t xml:space="preserve">The EDTR study uses a quantitative predictive and inferential research design because confidence calibration is an operationalized problem that can be measured, compared, and evaluated using numerical metrics. Rather than defining new </w:t>
      </w:r>
      <w:proofErr w:type="gramStart"/>
      <w:r>
        <w:t>constructs</w:t>
      </w:r>
      <w:proofErr w:type="gramEnd"/>
      <w:r>
        <w:t>, the study treats miscalibration as a measurable performance gap and proposes a method to reduce it. This design supports evaluative claims about improvement relative to baseline approaches.</w:t>
      </w:r>
    </w:p>
    <w:p w14:paraId="3D57E782" w14:textId="77777777" w:rsidR="001228DB" w:rsidRDefault="0028673E" w:rsidP="00AF0609">
      <w:pPr>
        <w:spacing w:before="120" w:after="120" w:line="480" w:lineRule="auto"/>
      </w:pPr>
      <w:r>
        <w:t xml:space="preserve">However, this design imposes clear boundaries. Calibration assesses the alignment between confidence and correctness, rather than investigating the internal causes of reasoning failure. As </w:t>
      </w:r>
      <w:r>
        <w:lastRenderedPageBreak/>
        <w:t>a result, the study prioritizes reliability and risk mitigation over explanatory depth. This focus reflects its position in the research lifecycle, where enhancing the safety of model outputs is more urgent than elucidating underlying mechanisms (Wing, 2020).</w:t>
      </w:r>
    </w:p>
    <w:p w14:paraId="3D57E783" w14:textId="77777777" w:rsidR="001228DB" w:rsidRPr="007711A2" w:rsidRDefault="0028673E" w:rsidP="00AF0609">
      <w:pPr>
        <w:spacing w:before="120" w:after="120" w:line="480" w:lineRule="auto"/>
        <w:rPr>
          <w:i/>
          <w:iCs/>
        </w:rPr>
      </w:pPr>
      <w:r w:rsidRPr="007711A2">
        <w:rPr>
          <w:b/>
          <w:bCs/>
          <w:i/>
          <w:iCs/>
        </w:rPr>
        <w:t>Research Questions</w:t>
      </w:r>
    </w:p>
    <w:p w14:paraId="3D57E784" w14:textId="77777777" w:rsidR="001228DB" w:rsidRDefault="0028673E" w:rsidP="00AF0609">
      <w:pPr>
        <w:numPr>
          <w:ilvl w:val="0"/>
          <w:numId w:val="1"/>
        </w:numPr>
        <w:spacing w:before="240" w:after="120" w:line="480" w:lineRule="auto"/>
        <w:ind w:hanging="329"/>
      </w:pPr>
      <w:r>
        <w:t>How accurately can confidence in chain-of-thought reasoning be calibrated to reflect correctness?</w:t>
      </w:r>
    </w:p>
    <w:p w14:paraId="3D57E785" w14:textId="77777777" w:rsidR="001228DB" w:rsidRDefault="0028673E" w:rsidP="00AF0609">
      <w:pPr>
        <w:numPr>
          <w:ilvl w:val="0"/>
          <w:numId w:val="1"/>
        </w:numPr>
        <w:spacing w:before="120" w:after="120" w:line="480" w:lineRule="auto"/>
        <w:ind w:hanging="329"/>
      </w:pPr>
      <w:r>
        <w:t>Does the EDTR method outperform existing calibration techniques?</w:t>
      </w:r>
    </w:p>
    <w:p w14:paraId="3D57E786" w14:textId="77777777" w:rsidR="001228DB" w:rsidRDefault="0028673E" w:rsidP="00AF0609">
      <w:pPr>
        <w:numPr>
          <w:ilvl w:val="0"/>
          <w:numId w:val="1"/>
        </w:numPr>
        <w:spacing w:before="120" w:after="240" w:line="480" w:lineRule="auto"/>
        <w:ind w:hanging="329"/>
      </w:pPr>
      <w:r>
        <w:t>Does EDTR generalize across models and task types?</w:t>
      </w:r>
    </w:p>
    <w:p w14:paraId="3D57E787" w14:textId="77777777" w:rsidR="001228DB" w:rsidRPr="007711A2" w:rsidRDefault="0028673E" w:rsidP="00AF0609">
      <w:pPr>
        <w:spacing w:before="120" w:after="120" w:line="480" w:lineRule="auto"/>
        <w:rPr>
          <w:i/>
          <w:iCs/>
        </w:rPr>
      </w:pPr>
      <w:r w:rsidRPr="007711A2">
        <w:rPr>
          <w:b/>
          <w:bCs/>
          <w:i/>
          <w:iCs/>
        </w:rPr>
        <w:t>Hypotheses</w:t>
      </w:r>
    </w:p>
    <w:p w14:paraId="3D57E788" w14:textId="42F62D8C" w:rsidR="001228DB" w:rsidRPr="00AF0609" w:rsidRDefault="0028673E" w:rsidP="00AF0609">
      <w:pPr>
        <w:pStyle w:val="ListParagraph"/>
        <w:numPr>
          <w:ilvl w:val="0"/>
          <w:numId w:val="4"/>
        </w:numPr>
        <w:spacing w:before="120" w:after="120" w:line="480" w:lineRule="auto"/>
      </w:pPr>
      <w:r w:rsidRPr="00AF0609">
        <w:t>H</w:t>
      </w:r>
      <w:r w:rsidR="00AF0609">
        <w:t>0</w:t>
      </w:r>
      <w:r w:rsidRPr="00AF0609">
        <w:t>: EDTR does not improve confidence calibration relative to baseline methods.</w:t>
      </w:r>
    </w:p>
    <w:p w14:paraId="3D57E789" w14:textId="5F8073D0" w:rsidR="001228DB" w:rsidRPr="00AF0609" w:rsidRDefault="0028673E" w:rsidP="00AF0609">
      <w:pPr>
        <w:pStyle w:val="ListParagraph"/>
        <w:numPr>
          <w:ilvl w:val="0"/>
          <w:numId w:val="4"/>
        </w:numPr>
        <w:spacing w:before="120" w:after="120" w:line="480" w:lineRule="auto"/>
      </w:pPr>
      <w:r w:rsidRPr="00AF0609">
        <w:t>H</w:t>
      </w:r>
      <w:r w:rsidR="00AF0609">
        <w:t>1</w:t>
      </w:r>
      <w:r w:rsidRPr="00AF0609">
        <w:t>: EDTR improves confidence calibration relative to baseline methods.</w:t>
      </w:r>
    </w:p>
    <w:p w14:paraId="3D57E78A" w14:textId="77777777" w:rsidR="001228DB" w:rsidRPr="007711A2" w:rsidRDefault="0028673E" w:rsidP="00AF0609">
      <w:pPr>
        <w:spacing w:before="120" w:after="120" w:line="480" w:lineRule="auto"/>
        <w:rPr>
          <w:i/>
          <w:iCs/>
        </w:rPr>
      </w:pPr>
      <w:r w:rsidRPr="007711A2">
        <w:rPr>
          <w:b/>
          <w:bCs/>
          <w:i/>
          <w:iCs/>
        </w:rPr>
        <w:t>Data Ethics and Sector Context</w:t>
      </w:r>
    </w:p>
    <w:p w14:paraId="3D57E78B" w14:textId="77777777" w:rsidR="001228DB" w:rsidRDefault="0028673E" w:rsidP="00AF0609">
      <w:pPr>
        <w:spacing w:before="120" w:after="120" w:line="480" w:lineRule="auto"/>
      </w:pPr>
      <w:r>
        <w:rPr>
          <w:b/>
          <w:bCs/>
        </w:rPr>
        <w:t>Sector/field context.</w:t>
      </w:r>
    </w:p>
    <w:p w14:paraId="3D57E78C" w14:textId="77777777" w:rsidR="001228DB" w:rsidRDefault="0028673E" w:rsidP="00AF0609">
      <w:pPr>
        <w:spacing w:before="120" w:after="120" w:line="480" w:lineRule="auto"/>
        <w:ind w:firstLine="720"/>
      </w:pPr>
      <w:r>
        <w:t>This study falls within AI safety and trustworthy AI research and intersects with applied domains such as finance and decision support, where confidence estimates may influence human decision-making.</w:t>
      </w:r>
    </w:p>
    <w:p w14:paraId="3D57E78D" w14:textId="77777777" w:rsidR="001228DB" w:rsidRDefault="0028673E" w:rsidP="00AF0609">
      <w:pPr>
        <w:spacing w:before="120" w:after="120" w:line="480" w:lineRule="auto"/>
      </w:pPr>
      <w:r>
        <w:rPr>
          <w:b/>
          <w:bCs/>
        </w:rPr>
        <w:t>Ethical issues and relevant laws/policies.</w:t>
      </w:r>
    </w:p>
    <w:p w14:paraId="3D57E78E" w14:textId="77777777" w:rsidR="001228DB" w:rsidRDefault="0028673E" w:rsidP="00AF0609">
      <w:pPr>
        <w:spacing w:before="120" w:after="120" w:line="480" w:lineRule="auto"/>
        <w:ind w:firstLine="720"/>
      </w:pPr>
      <w:r>
        <w:t>Although the study does not utilize personal data, it raises ethical concerns regarding user trust and reliance on AI-generated outputs. Governance frameworks such as the NIST AI Risk Management Framework emphasize transparency, reliability, and risk mitigation for AI systems employed in decision support (National Institute of Standards and Technology, 2023).</w:t>
      </w:r>
    </w:p>
    <w:p w14:paraId="3D57E78F" w14:textId="77777777" w:rsidR="001228DB" w:rsidRDefault="0028673E" w:rsidP="008A5D8A">
      <w:pPr>
        <w:spacing w:before="120" w:after="120" w:line="480" w:lineRule="auto"/>
        <w:ind w:firstLine="720"/>
      </w:pPr>
      <w:r>
        <w:lastRenderedPageBreak/>
        <w:t>Legal considerations also arise from potential deployment contexts. If calibration methods are applied to systems that process personal or financial data, privacy laws such as the General Data Protection Regulation and the California Consumer Privacy Act impose constraints on data use and inference (California Department of Justice, 2018; European Union, 2016). The ethical risk in this study, therefore, lies less in data sensitivity than in how confidence signals shape user behavior.</w:t>
      </w:r>
    </w:p>
    <w:p w14:paraId="3D57E790" w14:textId="77777777" w:rsidR="001228DB" w:rsidRDefault="0028673E" w:rsidP="00AF0609">
      <w:pPr>
        <w:spacing w:before="120" w:after="120" w:line="480" w:lineRule="auto"/>
      </w:pPr>
      <w:r>
        <w:rPr>
          <w:b/>
          <w:bCs/>
        </w:rPr>
        <w:t>Article 3: Data-Driven AI for Topology Optimization</w:t>
      </w:r>
    </w:p>
    <w:p w14:paraId="3D57E791" w14:textId="77777777" w:rsidR="001228DB" w:rsidRPr="007711A2" w:rsidRDefault="0028673E" w:rsidP="00AF0609">
      <w:pPr>
        <w:spacing w:before="120" w:after="120" w:line="480" w:lineRule="auto"/>
        <w:rPr>
          <w:i/>
          <w:iCs/>
        </w:rPr>
      </w:pPr>
      <w:r w:rsidRPr="007711A2">
        <w:rPr>
          <w:b/>
          <w:bCs/>
          <w:i/>
          <w:iCs/>
        </w:rPr>
        <w:t>Research Design and Justification</w:t>
      </w:r>
    </w:p>
    <w:p w14:paraId="3D57E792" w14:textId="77777777" w:rsidR="001228DB" w:rsidRDefault="0028673E" w:rsidP="008A5D8A">
      <w:pPr>
        <w:spacing w:before="120" w:after="120" w:line="480" w:lineRule="auto"/>
        <w:ind w:firstLine="720"/>
      </w:pPr>
      <w:r>
        <w:t>The topology optimization study utilizes a quantitative comparative experimental design to evaluate architectural choices under defined constraints. The optimization problem is well established, and the central question is whether a convolutional neural network (CNN) augmented with self-attention achieves measurable performance gains when training data are limited. Comparative benchmarking is thus the appropriate design choice.</w:t>
      </w:r>
    </w:p>
    <w:p w14:paraId="3D57E793" w14:textId="77777777" w:rsidR="001228DB" w:rsidRDefault="0028673E" w:rsidP="00AF0609">
      <w:pPr>
        <w:spacing w:before="120" w:after="120" w:line="480" w:lineRule="auto"/>
      </w:pPr>
      <w:r>
        <w:t>Simultaneously, the design limits the scope of the conclusions. Performance gains observed in constrained experimental settings may not generalize to all design objectives or deployment scenarios. The study is most robust in its controlled evaluation and less so in claims regarding broader applicability.</w:t>
      </w:r>
    </w:p>
    <w:p w14:paraId="3D57E794" w14:textId="77777777" w:rsidR="001228DB" w:rsidRPr="007711A2" w:rsidRDefault="0028673E" w:rsidP="00AF0609">
      <w:pPr>
        <w:spacing w:before="120" w:after="120" w:line="480" w:lineRule="auto"/>
        <w:rPr>
          <w:i/>
          <w:iCs/>
        </w:rPr>
      </w:pPr>
      <w:r w:rsidRPr="007711A2">
        <w:rPr>
          <w:b/>
          <w:bCs/>
          <w:i/>
          <w:iCs/>
        </w:rPr>
        <w:t>Research Questions</w:t>
      </w:r>
    </w:p>
    <w:p w14:paraId="3D57E795" w14:textId="77777777" w:rsidR="001228DB" w:rsidRDefault="0028673E" w:rsidP="00AF0609">
      <w:pPr>
        <w:numPr>
          <w:ilvl w:val="0"/>
          <w:numId w:val="2"/>
        </w:numPr>
        <w:spacing w:before="240" w:after="120" w:line="480" w:lineRule="auto"/>
        <w:ind w:hanging="329"/>
      </w:pPr>
      <w:r>
        <w:t>Can CNN-based models approximate topology optimization solutions under data constraints?</w:t>
      </w:r>
    </w:p>
    <w:p w14:paraId="3D57E796" w14:textId="77777777" w:rsidR="001228DB" w:rsidRDefault="0028673E" w:rsidP="00AF0609">
      <w:pPr>
        <w:numPr>
          <w:ilvl w:val="0"/>
          <w:numId w:val="2"/>
        </w:numPr>
        <w:spacing w:before="120" w:after="120" w:line="480" w:lineRule="auto"/>
        <w:ind w:hanging="329"/>
      </w:pPr>
      <w:r>
        <w:t>Does self-attention improve predictive performance relative to standard CNN architectures?</w:t>
      </w:r>
    </w:p>
    <w:p w14:paraId="3D57E797" w14:textId="77777777" w:rsidR="001228DB" w:rsidRDefault="0028673E" w:rsidP="00AF0609">
      <w:pPr>
        <w:numPr>
          <w:ilvl w:val="0"/>
          <w:numId w:val="2"/>
        </w:numPr>
        <w:spacing w:before="120" w:after="240" w:line="480" w:lineRule="auto"/>
        <w:ind w:hanging="329"/>
      </w:pPr>
      <w:r>
        <w:lastRenderedPageBreak/>
        <w:t>How do learned models compare to gradient-based optimizers?</w:t>
      </w:r>
    </w:p>
    <w:p w14:paraId="3D57E798" w14:textId="77777777" w:rsidR="001228DB" w:rsidRPr="007711A2" w:rsidRDefault="0028673E" w:rsidP="00AF0609">
      <w:pPr>
        <w:spacing w:before="120" w:after="120" w:line="480" w:lineRule="auto"/>
        <w:rPr>
          <w:i/>
          <w:iCs/>
        </w:rPr>
      </w:pPr>
      <w:r w:rsidRPr="007711A2">
        <w:rPr>
          <w:b/>
          <w:bCs/>
          <w:i/>
          <w:iCs/>
        </w:rPr>
        <w:t>Hypotheses</w:t>
      </w:r>
    </w:p>
    <w:p w14:paraId="3D57E799" w14:textId="57D2BF63" w:rsidR="001228DB" w:rsidRDefault="0028673E" w:rsidP="00AF0609">
      <w:pPr>
        <w:numPr>
          <w:ilvl w:val="0"/>
          <w:numId w:val="3"/>
        </w:numPr>
        <w:spacing w:before="240" w:after="120" w:line="480" w:lineRule="auto"/>
        <w:ind w:hanging="242"/>
      </w:pPr>
      <w:r>
        <w:t>H</w:t>
      </w:r>
      <w:r w:rsidR="008A5D8A">
        <w:t>0</w:t>
      </w:r>
      <w:r>
        <w:t xml:space="preserve">: No significant performance difference exists between CNN and </w:t>
      </w:r>
      <w:proofErr w:type="spellStart"/>
      <w:r>
        <w:t>CNN+self-attention</w:t>
      </w:r>
      <w:proofErr w:type="spellEnd"/>
      <w:r>
        <w:t xml:space="preserve"> models.</w:t>
      </w:r>
    </w:p>
    <w:p w14:paraId="3D57E79A" w14:textId="1D6CF1FA" w:rsidR="001228DB" w:rsidRDefault="0028673E" w:rsidP="00AF0609">
      <w:pPr>
        <w:numPr>
          <w:ilvl w:val="0"/>
          <w:numId w:val="3"/>
        </w:numPr>
        <w:spacing w:before="120" w:after="240" w:line="480" w:lineRule="auto"/>
        <w:ind w:hanging="242"/>
      </w:pPr>
      <w:r>
        <w:t>H</w:t>
      </w:r>
      <w:r w:rsidR="008A5D8A">
        <w:t>1</w:t>
      </w:r>
      <w:r>
        <w:t xml:space="preserve">: </w:t>
      </w:r>
      <w:proofErr w:type="spellStart"/>
      <w:r>
        <w:t>CNN+self-attention</w:t>
      </w:r>
      <w:proofErr w:type="spellEnd"/>
      <w:r>
        <w:t xml:space="preserve"> models outperform standard CNN models.</w:t>
      </w:r>
    </w:p>
    <w:p w14:paraId="3D57E79B" w14:textId="77777777" w:rsidR="001228DB" w:rsidRPr="007711A2" w:rsidRDefault="0028673E" w:rsidP="00AF0609">
      <w:pPr>
        <w:spacing w:before="120" w:after="120" w:line="480" w:lineRule="auto"/>
        <w:rPr>
          <w:i/>
          <w:iCs/>
        </w:rPr>
      </w:pPr>
      <w:r w:rsidRPr="007711A2">
        <w:rPr>
          <w:b/>
          <w:bCs/>
          <w:i/>
          <w:iCs/>
        </w:rPr>
        <w:t>Data Ethics and Sector Context</w:t>
      </w:r>
    </w:p>
    <w:p w14:paraId="3D57E79C" w14:textId="77777777" w:rsidR="001228DB" w:rsidRDefault="0028673E" w:rsidP="00AF0609">
      <w:pPr>
        <w:spacing w:before="120" w:after="120" w:line="480" w:lineRule="auto"/>
      </w:pPr>
      <w:r>
        <w:rPr>
          <w:b/>
          <w:bCs/>
        </w:rPr>
        <w:t>Sector/field context.</w:t>
      </w:r>
    </w:p>
    <w:p w14:paraId="3D57E79D" w14:textId="77777777" w:rsidR="001228DB" w:rsidRDefault="0028673E" w:rsidP="008A5D8A">
      <w:pPr>
        <w:spacing w:before="120" w:after="120" w:line="480" w:lineRule="auto"/>
        <w:ind w:firstLine="720"/>
      </w:pPr>
      <w:r>
        <w:t>This study operates in applied engineering and structural design, using simulated data rather than human-subject data.</w:t>
      </w:r>
    </w:p>
    <w:p w14:paraId="3D57E79E" w14:textId="77777777" w:rsidR="001228DB" w:rsidRDefault="0028673E" w:rsidP="00AF0609">
      <w:pPr>
        <w:spacing w:before="120" w:after="120" w:line="480" w:lineRule="auto"/>
      </w:pPr>
      <w:r>
        <w:rPr>
          <w:b/>
          <w:bCs/>
        </w:rPr>
        <w:t>Ethical issues and relevant laws/policies.</w:t>
      </w:r>
    </w:p>
    <w:p w14:paraId="3D57E79F" w14:textId="279CD13F" w:rsidR="001228DB" w:rsidRDefault="0028673E" w:rsidP="008A5D8A">
      <w:pPr>
        <w:spacing w:before="120" w:after="120" w:line="480" w:lineRule="auto"/>
        <w:ind w:firstLine="720"/>
      </w:pPr>
      <w:r>
        <w:t>Ethical concerns in this context center on safety, reliability, and responsible engineering practices. If AI-assisted optimization tools are used in safety-critical designs, errors could result in physical harm. Risk-based governance frameworks, such as the EU AI Act, emphasize system impacts and safety considerations beyond privacy alone (European Union, 2024). International standards, including ISO/IEC 23894, provide guidance for AI risk management throughout the system lifecycle (</w:t>
      </w:r>
      <w:r w:rsidR="005C03FD">
        <w:t>ISO</w:t>
      </w:r>
      <w:r>
        <w:t>, 2023).</w:t>
      </w:r>
    </w:p>
    <w:p w14:paraId="3D57E7A0" w14:textId="77777777" w:rsidR="001228DB" w:rsidRDefault="0028673E" w:rsidP="00AF0609">
      <w:pPr>
        <w:spacing w:before="120" w:after="120" w:line="480" w:lineRule="auto"/>
      </w:pPr>
      <w:r>
        <w:rPr>
          <w:b/>
          <w:bCs/>
        </w:rPr>
        <w:t>Reflect and Compare: Research Design Choices</w:t>
      </w:r>
    </w:p>
    <w:p w14:paraId="3D57E7A1" w14:textId="77777777" w:rsidR="001228DB" w:rsidRDefault="0028673E" w:rsidP="008A5D8A">
      <w:pPr>
        <w:spacing w:before="120" w:after="120" w:line="480" w:lineRule="auto"/>
        <w:ind w:firstLine="720"/>
      </w:pPr>
      <w:r>
        <w:t xml:space="preserve">Taken together, these studies demonstrate that research designs serve as tools appropriate for different stages of understanding, rather than as competing templates. Exploratory research is essential when key </w:t>
      </w:r>
      <w:proofErr w:type="gramStart"/>
      <w:r>
        <w:t>constructs</w:t>
      </w:r>
      <w:proofErr w:type="gramEnd"/>
      <w:r>
        <w:t xml:space="preserve"> are undefined, as illustrated by the Atomic Thinking study. Quantitative predictive and inferential designs are suitable once problems are operationalized, as </w:t>
      </w:r>
      <w:r>
        <w:lastRenderedPageBreak/>
        <w:t xml:space="preserve">in the EDTR study. Comparative experimental designs enable evaluation in mature, application-driven contexts, as demonstrated by the topology optimization study. This progression underscores the importance of aligning research design with problem maturity, rather than applying uniform methodologies across diverse research questions (Byrne, </w:t>
      </w:r>
      <w:r>
        <w:t>2017).</w:t>
      </w:r>
    </w:p>
    <w:p w14:paraId="3D57E7A2" w14:textId="77777777" w:rsidR="001228DB" w:rsidRDefault="0028673E" w:rsidP="00AF0609">
      <w:pPr>
        <w:spacing w:before="120" w:after="120" w:line="480" w:lineRule="auto"/>
      </w:pPr>
      <w:r>
        <w:rPr>
          <w:b/>
          <w:bCs/>
        </w:rPr>
        <w:t>Reflect and Compare: Research Questions and Results</w:t>
      </w:r>
    </w:p>
    <w:p w14:paraId="3D57E7A3" w14:textId="77777777" w:rsidR="001228DB" w:rsidRDefault="0028673E" w:rsidP="008A5D8A">
      <w:pPr>
        <w:spacing w:before="120" w:after="120" w:line="480" w:lineRule="auto"/>
        <w:ind w:firstLine="720"/>
      </w:pPr>
      <w:r>
        <w:t>The studies differ in their criteria for addressing research questions. In the Atomic Thinking study, questions are explored through diagnostic insight rather than definitive conclusions. The EDTR study answers research questions quantitatively, employing improved calibration metrics. The topology optimization study addresses questions within a constrained experimental framework, yielding actionable but context-dependent results. These distinctions demonstrate how research questions shape both the type of e</w:t>
      </w:r>
      <w:r>
        <w:t>vidence produced and the limits of interpretation.</w:t>
      </w:r>
    </w:p>
    <w:p w14:paraId="3D57E7A4" w14:textId="77777777" w:rsidR="001228DB" w:rsidRDefault="0028673E" w:rsidP="00AF0609">
      <w:pPr>
        <w:spacing w:before="120" w:after="120" w:line="480" w:lineRule="auto"/>
      </w:pPr>
      <w:r>
        <w:rPr>
          <w:b/>
          <w:bCs/>
        </w:rPr>
        <w:t>Reflect and Compare: Hypotheses Across Designs</w:t>
      </w:r>
    </w:p>
    <w:p w14:paraId="3D57E7A5" w14:textId="77777777" w:rsidR="001228DB" w:rsidRDefault="0028673E" w:rsidP="008A5D8A">
      <w:pPr>
        <w:spacing w:before="120" w:after="120" w:line="480" w:lineRule="auto"/>
        <w:ind w:firstLine="720"/>
      </w:pPr>
      <w:r>
        <w:t>Hypothesis testing is appropriate in the EDTR and topology optimization studies because outcomes are operationalized and measurable. In contrast, the Atomic Thinking study does not initially support hypothesis testing, as variables and relationships are still being defined. This limitation does not detract from the study; rather, it highlights its role in establishing the conceptual foundation necessary for subsequent confirmatory research (Wing, 2020).</w:t>
      </w:r>
    </w:p>
    <w:p w14:paraId="3D57E7A6" w14:textId="77777777" w:rsidR="001228DB" w:rsidRDefault="0028673E" w:rsidP="00AF0609">
      <w:pPr>
        <w:spacing w:before="120" w:after="120" w:line="480" w:lineRule="auto"/>
      </w:pPr>
      <w:r>
        <w:rPr>
          <w:b/>
          <w:bCs/>
        </w:rPr>
        <w:t>Data Ethics Comparison</w:t>
      </w:r>
    </w:p>
    <w:p w14:paraId="3D57E7A7" w14:textId="1E0E0291" w:rsidR="001228DB" w:rsidRDefault="0028673E" w:rsidP="008A5D8A">
      <w:pPr>
        <w:spacing w:before="120" w:after="120" w:line="480" w:lineRule="auto"/>
        <w:ind w:firstLine="720"/>
      </w:pPr>
      <w:r>
        <w:t xml:space="preserve">Across the three studies, ethical risk increases as </w:t>
      </w:r>
      <w:proofErr w:type="gramStart"/>
      <w:r>
        <w:t>outputs</w:t>
      </w:r>
      <w:proofErr w:type="gramEnd"/>
      <w:r>
        <w:t xml:space="preserve"> </w:t>
      </w:r>
      <w:proofErr w:type="gramStart"/>
      <w:r>
        <w:t>move</w:t>
      </w:r>
      <w:proofErr w:type="gramEnd"/>
      <w:r>
        <w:t xml:space="preserve"> closer to real-world decision-making contexts. While privacy concerns are minimal due to the use of synthetic or benchmark data, risks related to trust, misinterpretation, and downstream impact vary </w:t>
      </w:r>
      <w:r>
        <w:lastRenderedPageBreak/>
        <w:t xml:space="preserve">considerably. Risk-based governance frameworks, such as the EU AI Act and NIST AI RMF, address these concerns more effectively than privacy-focused regulation alone (European Union, 2024; </w:t>
      </w:r>
      <w:r w:rsidR="0008538D">
        <w:t>ISO</w:t>
      </w:r>
      <w:r>
        <w:t>, 2023).</w:t>
      </w:r>
    </w:p>
    <w:p w14:paraId="3D57E7A8" w14:textId="77777777" w:rsidR="001228DB" w:rsidRDefault="0028673E" w:rsidP="00AF0609">
      <w:pPr>
        <w:spacing w:before="120" w:after="120" w:line="480" w:lineRule="auto"/>
      </w:pPr>
      <w:r>
        <w:rPr>
          <w:b/>
          <w:bCs/>
        </w:rPr>
        <w:t>Data Privacy in Data Science</w:t>
      </w:r>
    </w:p>
    <w:p w14:paraId="3D57E7A9" w14:textId="77777777" w:rsidR="001228DB" w:rsidRDefault="0028673E" w:rsidP="00AF0609">
      <w:pPr>
        <w:spacing w:before="120" w:after="120" w:line="480" w:lineRule="auto"/>
      </w:pPr>
      <w:r>
        <w:t>Traditionally, data privacy in data science has focused on data collection and the protection of personally identifiable information. However, as predictive and inferential capabilities advance, privacy risks increasingly arise from what models can infer rather than the data they directly contain. Even aggregated or synthetic datasets may permit sensitive inferences, challenging conventional compliance-based privacy models (Wing, 2020).</w:t>
      </w:r>
    </w:p>
    <w:p w14:paraId="3D57E7AA" w14:textId="77777777" w:rsidR="001228DB" w:rsidRDefault="0028673E" w:rsidP="00AF0609">
      <w:pPr>
        <w:spacing w:before="120" w:after="120" w:line="480" w:lineRule="auto"/>
      </w:pPr>
      <w:r>
        <w:t>Addressing these challenges requires governance frameworks that account for inference risk, transparency, and accountability throughout the data science lifecycle. Although existing legal and ethical frameworks provide a foundation, ongoing adaptation is necessary as AI systems become more capable and integrated into decision-making processes.</w:t>
      </w:r>
    </w:p>
    <w:p w14:paraId="3D57E7AB" w14:textId="77777777" w:rsidR="001228DB" w:rsidRDefault="0028673E" w:rsidP="00AF0609">
      <w:pPr>
        <w:spacing w:before="120" w:after="120" w:line="480" w:lineRule="auto"/>
      </w:pPr>
      <w:r>
        <w:rPr>
          <w:b/>
          <w:bCs/>
        </w:rPr>
        <w:t>Conclusion</w:t>
      </w:r>
    </w:p>
    <w:p w14:paraId="3D57E7AC" w14:textId="77777777" w:rsidR="001228DB" w:rsidRDefault="0028673E" w:rsidP="00AF0609">
      <w:pPr>
        <w:spacing w:before="120" w:after="120" w:line="480" w:lineRule="auto"/>
      </w:pPr>
      <w:r>
        <w:t>This paper examined three data science research studies as stages within a broader investigation of how AI systems should be understood, trusted, and deployed. The Atomic Thinking study highlights the importance of exploratory research when a phenomenon is not yet well-defined. The EDTR study demonstrates the value of quantitative methods in mitigating risk once reliability becomes a concern. The topology optimization study exemplifies how applied experimental designs assess performance under real-world con</w:t>
      </w:r>
      <w:r>
        <w:t>straints. Collectively, these studies suggest that responsible AI development requires aligning research design with problem maturity, deployment stakes, and the specific insights needed at each stage of inquiry.</w:t>
      </w:r>
    </w:p>
    <w:p w14:paraId="6BD45B74" w14:textId="20BA9A44" w:rsidR="001A7BFA" w:rsidRPr="001A7BFA" w:rsidRDefault="0028673E" w:rsidP="00531343">
      <w:pPr>
        <w:spacing w:before="120" w:after="120" w:line="480" w:lineRule="auto"/>
        <w:jc w:val="center"/>
      </w:pPr>
      <w:r>
        <w:rPr>
          <w:b/>
          <w:bCs/>
        </w:rPr>
        <w:lastRenderedPageBreak/>
        <w:t>References</w:t>
      </w:r>
    </w:p>
    <w:p w14:paraId="4CC5631B" w14:textId="77777777" w:rsidR="001A7BFA" w:rsidRPr="001A7BFA" w:rsidRDefault="001A7BFA" w:rsidP="001A7BFA">
      <w:pPr>
        <w:spacing w:line="480" w:lineRule="auto"/>
        <w:ind w:left="720" w:hanging="720"/>
      </w:pPr>
      <w:r w:rsidRPr="001A7BFA">
        <w:t xml:space="preserve">Byrne, D. (2022). Research Design. </w:t>
      </w:r>
      <w:r w:rsidRPr="001A7BFA">
        <w:rPr>
          <w:i/>
          <w:iCs/>
        </w:rPr>
        <w:t>Research Project Planner</w:t>
      </w:r>
      <w:r w:rsidRPr="001A7BFA">
        <w:t>. https://doi.org/10.4135/9781526408532</w:t>
      </w:r>
    </w:p>
    <w:p w14:paraId="4B77E749" w14:textId="77777777" w:rsidR="001A7BFA" w:rsidRPr="001A7BFA" w:rsidRDefault="001A7BFA" w:rsidP="001A7BFA">
      <w:pPr>
        <w:spacing w:line="480" w:lineRule="auto"/>
        <w:ind w:left="720" w:hanging="720"/>
      </w:pPr>
      <w:r w:rsidRPr="001A7BFA">
        <w:t xml:space="preserve">European Union. (2016, April 27). </w:t>
      </w:r>
      <w:r w:rsidRPr="001A7BFA">
        <w:rPr>
          <w:i/>
          <w:iCs/>
        </w:rPr>
        <w:t xml:space="preserve">Regulation (EU) 2016/679 of the European Parliament and of the Council of 27 April 2016 on the protection of natural persons </w:t>
      </w:r>
      <w:proofErr w:type="gramStart"/>
      <w:r w:rsidRPr="001A7BFA">
        <w:rPr>
          <w:i/>
          <w:iCs/>
        </w:rPr>
        <w:t>with regard to</w:t>
      </w:r>
      <w:proofErr w:type="gramEnd"/>
      <w:r w:rsidRPr="001A7BFA">
        <w:rPr>
          <w:i/>
          <w:iCs/>
        </w:rPr>
        <w:t xml:space="preserve"> the processing of personal data and on the free movement of such data, and repealing Directive 95/46/EC (General Data Protection Regulation)</w:t>
      </w:r>
      <w:r w:rsidRPr="001A7BFA">
        <w:t>. Europa.eu. https://eur-lex.europa.eu/eli/reg/2016/679/oj</w:t>
      </w:r>
    </w:p>
    <w:p w14:paraId="51F0CB9D" w14:textId="77777777" w:rsidR="001A7BFA" w:rsidRPr="001A7BFA" w:rsidRDefault="001A7BFA" w:rsidP="001A7BFA">
      <w:pPr>
        <w:spacing w:line="480" w:lineRule="auto"/>
        <w:ind w:left="720" w:hanging="720"/>
      </w:pPr>
      <w:r w:rsidRPr="001A7BFA">
        <w:t xml:space="preserve">European Union. (2024). </w:t>
      </w:r>
      <w:r w:rsidRPr="001A7BFA">
        <w:rPr>
          <w:i/>
          <w:iCs/>
        </w:rPr>
        <w:t>Search results - EUR-Lex</w:t>
      </w:r>
      <w:r w:rsidRPr="001A7BFA">
        <w:t>. Europa.eu. https://eur-lex.europa.eu/eli/reg/2024/1684/oj</w:t>
      </w:r>
    </w:p>
    <w:p w14:paraId="1DC015B0" w14:textId="43D21DB3" w:rsidR="001A7BFA" w:rsidRPr="00CA0DEA" w:rsidRDefault="001A7BFA" w:rsidP="001A7BFA">
      <w:pPr>
        <w:spacing w:line="480" w:lineRule="auto"/>
        <w:ind w:left="720" w:hanging="720"/>
        <w:rPr>
          <w:lang w:val="es-ES"/>
        </w:rPr>
      </w:pPr>
      <w:r w:rsidRPr="001A7BFA">
        <w:t xml:space="preserve">ISO. (2023, February). </w:t>
      </w:r>
      <w:r w:rsidRPr="001A7BFA">
        <w:rPr>
          <w:i/>
          <w:iCs/>
        </w:rPr>
        <w:t>ISO/IEC 23894:2023</w:t>
      </w:r>
      <w:r w:rsidRPr="001A7BFA">
        <w:t xml:space="preserve">. ISO. </w:t>
      </w:r>
      <w:hyperlink r:id="rId7" w:history="1">
        <w:r w:rsidR="00B86860" w:rsidRPr="00CA0DEA">
          <w:rPr>
            <w:rStyle w:val="Hyperlink"/>
            <w:lang w:val="es-ES"/>
          </w:rPr>
          <w:t>https://www.iso.org/standard/77304.html</w:t>
        </w:r>
      </w:hyperlink>
    </w:p>
    <w:p w14:paraId="55B31B3C" w14:textId="001998BD" w:rsidR="0087112D" w:rsidRDefault="0087112D" w:rsidP="001A7BFA">
      <w:pPr>
        <w:spacing w:line="480" w:lineRule="auto"/>
        <w:ind w:left="720" w:hanging="720"/>
      </w:pPr>
      <w:r w:rsidRPr="00CA0DEA">
        <w:rPr>
          <w:lang w:val="es-ES"/>
        </w:rPr>
        <w:t xml:space="preserve">Jing, X., &amp; Guo, M. (2024). </w:t>
      </w:r>
      <w:r w:rsidRPr="0087112D">
        <w:t>Data-Driven AI for Topology Optimization: A Comparative Study of CNN and Self-Attention Enhanced Architectures in Data-Constrained Scenarios. </w:t>
      </w:r>
      <w:r w:rsidRPr="0087112D">
        <w:rPr>
          <w:i/>
          <w:iCs/>
        </w:rPr>
        <w:t>2024 3rd International Conference on Artificial Intelligence, Human-Computer Interaction and Robotics (AIHCIR), Artificial Intelligence, Human-Computer Interaction and Robotics (AIHCIR), 2024 3rd International Conference on, AIHCIR</w:t>
      </w:r>
      <w:r w:rsidRPr="0087112D">
        <w:t>, 243–248. https://doi.org/10.1109/AIHCIR65563.2024.00048</w:t>
      </w:r>
    </w:p>
    <w:p w14:paraId="7CDB6E1D" w14:textId="4778D6C8" w:rsidR="00B86860" w:rsidRDefault="00B86860" w:rsidP="001A7BFA">
      <w:pPr>
        <w:spacing w:line="480" w:lineRule="auto"/>
        <w:ind w:left="720" w:hanging="720"/>
      </w:pPr>
      <w:r w:rsidRPr="00B86860">
        <w:t>Kuang, J., Huang, H., Li, Y., Liang, X., Xu, Z., Li, Y., Tan, X., Qu, C., Zhang, M., Shen, Y., &amp; Yu, P. S. (2025). </w:t>
      </w:r>
      <w:r w:rsidRPr="00B86860">
        <w:rPr>
          <w:i/>
          <w:iCs/>
        </w:rPr>
        <w:t>Atomic Thinking of LLMs: Decoupling and Exploring Mathematical Reasoning Abilities</w:t>
      </w:r>
      <w:r w:rsidRPr="00B86860">
        <w:t>.</w:t>
      </w:r>
    </w:p>
    <w:p w14:paraId="0DC8D652" w14:textId="4378DB4C" w:rsidR="00531343" w:rsidRPr="001A7BFA" w:rsidRDefault="00531343" w:rsidP="001A7BFA">
      <w:pPr>
        <w:spacing w:line="480" w:lineRule="auto"/>
        <w:ind w:left="720" w:hanging="720"/>
      </w:pPr>
      <w:r w:rsidRPr="00531343">
        <w:t xml:space="preserve">More, A., Zhang, A., Bonilla, N., Vivekan, A., Zhu, K., </w:t>
      </w:r>
      <w:proofErr w:type="spellStart"/>
      <w:r w:rsidRPr="00531343">
        <w:t>Sharafoleslami</w:t>
      </w:r>
      <w:proofErr w:type="spellEnd"/>
      <w:r w:rsidRPr="00531343">
        <w:t>, P., &amp; Chaudhary, M. (2025). </w:t>
      </w:r>
      <w:r w:rsidRPr="00531343">
        <w:rPr>
          <w:i/>
          <w:iCs/>
        </w:rPr>
        <w:t>Optimizing Chain-of-Thought Confidence via Topological and Dirichlet Risk Analysis</w:t>
      </w:r>
      <w:r w:rsidRPr="00531343">
        <w:t>.</w:t>
      </w:r>
    </w:p>
    <w:p w14:paraId="6D0CB7A2" w14:textId="77777777" w:rsidR="001A7BFA" w:rsidRPr="001A7BFA" w:rsidRDefault="001A7BFA" w:rsidP="001A7BFA">
      <w:pPr>
        <w:spacing w:line="480" w:lineRule="auto"/>
        <w:ind w:left="720" w:hanging="720"/>
      </w:pPr>
      <w:r w:rsidRPr="001A7BFA">
        <w:lastRenderedPageBreak/>
        <w:t xml:space="preserve">National Institute of Standards and Technology. (2023, July 12). </w:t>
      </w:r>
      <w:r w:rsidRPr="001A7BFA">
        <w:rPr>
          <w:i/>
          <w:iCs/>
        </w:rPr>
        <w:t>AI Risk Management Framework</w:t>
      </w:r>
      <w:r w:rsidRPr="001A7BFA">
        <w:t>. NIST. https://www.nist.gov/itl/ai-risk-management-framework</w:t>
      </w:r>
    </w:p>
    <w:p w14:paraId="1BEDB29F" w14:textId="77777777" w:rsidR="001A7BFA" w:rsidRPr="001A7BFA" w:rsidRDefault="001A7BFA" w:rsidP="001A7BFA">
      <w:pPr>
        <w:spacing w:line="480" w:lineRule="auto"/>
        <w:ind w:left="720" w:hanging="720"/>
      </w:pPr>
      <w:r w:rsidRPr="001A7BFA">
        <w:t xml:space="preserve">State of California Department of Justice. (2024). </w:t>
      </w:r>
      <w:r w:rsidRPr="001A7BFA">
        <w:rPr>
          <w:i/>
          <w:iCs/>
        </w:rPr>
        <w:t>California Consumer Privacy Act (CCPA)</w:t>
      </w:r>
      <w:r w:rsidRPr="001A7BFA">
        <w:t>. State of California - Department of Justice - Office of the Attorney General. https://oag.ca.gov/privacy/ccpa</w:t>
      </w:r>
    </w:p>
    <w:p w14:paraId="08EA3F7A" w14:textId="77777777" w:rsidR="001A7BFA" w:rsidRPr="001A7BFA" w:rsidRDefault="001A7BFA" w:rsidP="001A7BFA">
      <w:pPr>
        <w:spacing w:line="480" w:lineRule="auto"/>
        <w:ind w:left="720" w:hanging="720"/>
      </w:pPr>
      <w:r w:rsidRPr="001A7BFA">
        <w:t xml:space="preserve">Wing, J. M. (2020). Ten Research Challenge Areas in Data Science. </w:t>
      </w:r>
      <w:r w:rsidRPr="001A7BFA">
        <w:rPr>
          <w:i/>
          <w:iCs/>
        </w:rPr>
        <w:t>Harvard Data Science Review</w:t>
      </w:r>
      <w:r w:rsidRPr="001A7BFA">
        <w:t>. https://doi.org/10.1162/99608f92.c6577b1f</w:t>
      </w:r>
    </w:p>
    <w:sectPr w:rsidR="001A7BFA" w:rsidRPr="001A7BFA">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25297" w14:textId="77777777" w:rsidR="00BD38E1" w:rsidRDefault="00BD38E1" w:rsidP="008A5D8A">
      <w:r>
        <w:separator/>
      </w:r>
    </w:p>
  </w:endnote>
  <w:endnote w:type="continuationSeparator" w:id="0">
    <w:p w14:paraId="0F90E9E1" w14:textId="77777777" w:rsidR="00BD38E1" w:rsidRDefault="00BD38E1" w:rsidP="008A5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85C2" w14:textId="77777777" w:rsidR="00BD38E1" w:rsidRDefault="00BD38E1" w:rsidP="008A5D8A">
      <w:r>
        <w:separator/>
      </w:r>
    </w:p>
  </w:footnote>
  <w:footnote w:type="continuationSeparator" w:id="0">
    <w:p w14:paraId="025BA1C8" w14:textId="77777777" w:rsidR="00BD38E1" w:rsidRDefault="00BD38E1" w:rsidP="008A5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492611"/>
      <w:docPartObj>
        <w:docPartGallery w:val="Page Numbers (Top of Page)"/>
        <w:docPartUnique/>
      </w:docPartObj>
    </w:sdtPr>
    <w:sdtEndPr>
      <w:rPr>
        <w:noProof/>
      </w:rPr>
    </w:sdtEndPr>
    <w:sdtContent>
      <w:p w14:paraId="1BCD54AE" w14:textId="6ACDEAA6" w:rsidR="008A5D8A" w:rsidRDefault="008A5D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C67C14" w14:textId="77777777" w:rsidR="008A5D8A" w:rsidRDefault="008A5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hybridMultilevel"/>
    <w:tmpl w:val="00000003"/>
    <w:lvl w:ilvl="0" w:tplc="ED5CA6D4">
      <w:start w:val="1"/>
      <w:numFmt w:val="bullet"/>
      <w:lvlText w:val=""/>
      <w:lvlJc w:val="left"/>
      <w:pPr>
        <w:ind w:left="720" w:hanging="360"/>
      </w:pPr>
      <w:rPr>
        <w:rFonts w:ascii="Symbol" w:hAnsi="Symbol"/>
      </w:rPr>
    </w:lvl>
    <w:lvl w:ilvl="1" w:tplc="84064C5E">
      <w:start w:val="1"/>
      <w:numFmt w:val="bullet"/>
      <w:lvlText w:val="o"/>
      <w:lvlJc w:val="left"/>
      <w:pPr>
        <w:tabs>
          <w:tab w:val="num" w:pos="1440"/>
        </w:tabs>
        <w:ind w:left="1440" w:hanging="360"/>
      </w:pPr>
      <w:rPr>
        <w:rFonts w:ascii="Courier New" w:hAnsi="Courier New"/>
      </w:rPr>
    </w:lvl>
    <w:lvl w:ilvl="2" w:tplc="48A41366">
      <w:start w:val="1"/>
      <w:numFmt w:val="bullet"/>
      <w:lvlText w:val=""/>
      <w:lvlJc w:val="left"/>
      <w:pPr>
        <w:tabs>
          <w:tab w:val="num" w:pos="2160"/>
        </w:tabs>
        <w:ind w:left="2160" w:hanging="360"/>
      </w:pPr>
      <w:rPr>
        <w:rFonts w:ascii="Wingdings" w:hAnsi="Wingdings"/>
      </w:rPr>
    </w:lvl>
    <w:lvl w:ilvl="3" w:tplc="7B2E1FAA">
      <w:start w:val="1"/>
      <w:numFmt w:val="bullet"/>
      <w:lvlText w:val=""/>
      <w:lvlJc w:val="left"/>
      <w:pPr>
        <w:tabs>
          <w:tab w:val="num" w:pos="2880"/>
        </w:tabs>
        <w:ind w:left="2880" w:hanging="360"/>
      </w:pPr>
      <w:rPr>
        <w:rFonts w:ascii="Symbol" w:hAnsi="Symbol"/>
      </w:rPr>
    </w:lvl>
    <w:lvl w:ilvl="4" w:tplc="1B60AA3E">
      <w:start w:val="1"/>
      <w:numFmt w:val="bullet"/>
      <w:lvlText w:val="o"/>
      <w:lvlJc w:val="left"/>
      <w:pPr>
        <w:tabs>
          <w:tab w:val="num" w:pos="3600"/>
        </w:tabs>
        <w:ind w:left="3600" w:hanging="360"/>
      </w:pPr>
      <w:rPr>
        <w:rFonts w:ascii="Courier New" w:hAnsi="Courier New"/>
      </w:rPr>
    </w:lvl>
    <w:lvl w:ilvl="5" w:tplc="AAFC1B62">
      <w:start w:val="1"/>
      <w:numFmt w:val="bullet"/>
      <w:lvlText w:val=""/>
      <w:lvlJc w:val="left"/>
      <w:pPr>
        <w:tabs>
          <w:tab w:val="num" w:pos="4320"/>
        </w:tabs>
        <w:ind w:left="4320" w:hanging="360"/>
      </w:pPr>
      <w:rPr>
        <w:rFonts w:ascii="Wingdings" w:hAnsi="Wingdings"/>
      </w:rPr>
    </w:lvl>
    <w:lvl w:ilvl="6" w:tplc="E3C83250">
      <w:start w:val="1"/>
      <w:numFmt w:val="bullet"/>
      <w:lvlText w:val=""/>
      <w:lvlJc w:val="left"/>
      <w:pPr>
        <w:tabs>
          <w:tab w:val="num" w:pos="5040"/>
        </w:tabs>
        <w:ind w:left="5040" w:hanging="360"/>
      </w:pPr>
      <w:rPr>
        <w:rFonts w:ascii="Symbol" w:hAnsi="Symbol"/>
      </w:rPr>
    </w:lvl>
    <w:lvl w:ilvl="7" w:tplc="7842FE86">
      <w:start w:val="1"/>
      <w:numFmt w:val="bullet"/>
      <w:lvlText w:val="o"/>
      <w:lvlJc w:val="left"/>
      <w:pPr>
        <w:tabs>
          <w:tab w:val="num" w:pos="5760"/>
        </w:tabs>
        <w:ind w:left="5760" w:hanging="360"/>
      </w:pPr>
      <w:rPr>
        <w:rFonts w:ascii="Courier New" w:hAnsi="Courier New"/>
      </w:rPr>
    </w:lvl>
    <w:lvl w:ilvl="8" w:tplc="0EB248A2">
      <w:start w:val="1"/>
      <w:numFmt w:val="bullet"/>
      <w:lvlText w:val=""/>
      <w:lvlJc w:val="left"/>
      <w:pPr>
        <w:tabs>
          <w:tab w:val="num" w:pos="6480"/>
        </w:tabs>
        <w:ind w:left="6480" w:hanging="360"/>
      </w:pPr>
      <w:rPr>
        <w:rFonts w:ascii="Wingdings" w:hAnsi="Wingdings"/>
      </w:rPr>
    </w:lvl>
  </w:abstractNum>
  <w:abstractNum w:abstractNumId="3" w15:restartNumberingAfterBreak="0">
    <w:nsid w:val="17566CC8"/>
    <w:multiLevelType w:val="hybridMultilevel"/>
    <w:tmpl w:val="E0B8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142697">
    <w:abstractNumId w:val="0"/>
  </w:num>
  <w:num w:numId="2" w16cid:durableId="997686160">
    <w:abstractNumId w:val="1"/>
  </w:num>
  <w:num w:numId="3" w16cid:durableId="470489621">
    <w:abstractNumId w:val="2"/>
  </w:num>
  <w:num w:numId="4" w16cid:durableId="726685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8DB"/>
    <w:rsid w:val="0008538D"/>
    <w:rsid w:val="001228DB"/>
    <w:rsid w:val="00143A2D"/>
    <w:rsid w:val="00172536"/>
    <w:rsid w:val="001A7BFA"/>
    <w:rsid w:val="002368C8"/>
    <w:rsid w:val="0028646D"/>
    <w:rsid w:val="0028673E"/>
    <w:rsid w:val="004C7775"/>
    <w:rsid w:val="00531343"/>
    <w:rsid w:val="00590B35"/>
    <w:rsid w:val="005C03FD"/>
    <w:rsid w:val="0065366F"/>
    <w:rsid w:val="007711A2"/>
    <w:rsid w:val="0087112D"/>
    <w:rsid w:val="0089240A"/>
    <w:rsid w:val="008A5D8A"/>
    <w:rsid w:val="009A5A57"/>
    <w:rsid w:val="009E493B"/>
    <w:rsid w:val="00A06CE9"/>
    <w:rsid w:val="00AB3D84"/>
    <w:rsid w:val="00AF0609"/>
    <w:rsid w:val="00B86860"/>
    <w:rsid w:val="00BA769F"/>
    <w:rsid w:val="00BD38E1"/>
    <w:rsid w:val="00CA0DEA"/>
    <w:rsid w:val="00F0671D"/>
    <w:rsid w:val="00F172EE"/>
    <w:rsid w:val="00F52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E755"/>
  <w15:docId w15:val="{1FF21A43-C341-476F-B6EC-280EAA53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AF0609"/>
    <w:pPr>
      <w:ind w:left="720"/>
      <w:contextualSpacing/>
    </w:pPr>
  </w:style>
  <w:style w:type="paragraph" w:styleId="Header">
    <w:name w:val="header"/>
    <w:basedOn w:val="Normal"/>
    <w:link w:val="HeaderChar"/>
    <w:uiPriority w:val="99"/>
    <w:unhideWhenUsed/>
    <w:rsid w:val="008A5D8A"/>
    <w:pPr>
      <w:tabs>
        <w:tab w:val="center" w:pos="4680"/>
        <w:tab w:val="right" w:pos="9360"/>
      </w:tabs>
    </w:pPr>
  </w:style>
  <w:style w:type="character" w:customStyle="1" w:styleId="HeaderChar">
    <w:name w:val="Header Char"/>
    <w:basedOn w:val="DefaultParagraphFont"/>
    <w:link w:val="Header"/>
    <w:uiPriority w:val="99"/>
    <w:rsid w:val="008A5D8A"/>
    <w:rPr>
      <w:sz w:val="24"/>
      <w:szCs w:val="24"/>
    </w:rPr>
  </w:style>
  <w:style w:type="paragraph" w:styleId="Footer">
    <w:name w:val="footer"/>
    <w:basedOn w:val="Normal"/>
    <w:link w:val="FooterChar"/>
    <w:uiPriority w:val="99"/>
    <w:unhideWhenUsed/>
    <w:rsid w:val="008A5D8A"/>
    <w:pPr>
      <w:tabs>
        <w:tab w:val="center" w:pos="4680"/>
        <w:tab w:val="right" w:pos="9360"/>
      </w:tabs>
    </w:pPr>
  </w:style>
  <w:style w:type="character" w:customStyle="1" w:styleId="FooterChar">
    <w:name w:val="Footer Char"/>
    <w:basedOn w:val="DefaultParagraphFont"/>
    <w:link w:val="Footer"/>
    <w:uiPriority w:val="99"/>
    <w:rsid w:val="008A5D8A"/>
    <w:rPr>
      <w:sz w:val="24"/>
      <w:szCs w:val="24"/>
    </w:rPr>
  </w:style>
  <w:style w:type="character" w:styleId="Hyperlink">
    <w:name w:val="Hyperlink"/>
    <w:basedOn w:val="DefaultParagraphFont"/>
    <w:uiPriority w:val="99"/>
    <w:unhideWhenUsed/>
    <w:rsid w:val="00B86860"/>
    <w:rPr>
      <w:color w:val="0000FF" w:themeColor="hyperlink"/>
      <w:u w:val="single"/>
    </w:rPr>
  </w:style>
  <w:style w:type="character" w:styleId="UnresolvedMention">
    <w:name w:val="Unresolved Mention"/>
    <w:basedOn w:val="DefaultParagraphFont"/>
    <w:uiPriority w:val="99"/>
    <w:semiHidden/>
    <w:unhideWhenUsed/>
    <w:rsid w:val="00B86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so.org/standard/7730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13</Pages>
  <Words>2462</Words>
  <Characters>16226</Characters>
  <Application>Microsoft Office Word</Application>
  <DocSecurity>0</DocSecurity>
  <Lines>260</Lines>
  <Paragraphs>91</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Juan Maldonado Assignment 2</dc:title>
  <dc:creator>Juan Maldonado</dc:creator>
  <cp:lastModifiedBy>Juan Maldonado</cp:lastModifiedBy>
  <cp:revision>20</cp:revision>
  <dcterms:created xsi:type="dcterms:W3CDTF">2025-12-21T22:36:00Z</dcterms:created>
  <dcterms:modified xsi:type="dcterms:W3CDTF">2026-01-09T20:41:00Z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ca7768d1-a88d-47dc-999b-04666a5bc68d</vt:lpwstr>
  </property>
</Properties>
</file>