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14EB" w14:textId="77777777" w:rsidR="00246A87" w:rsidRDefault="00246A87" w:rsidP="00CB1ECB">
      <w:pPr>
        <w:spacing w:line="480" w:lineRule="auto"/>
        <w:jc w:val="center"/>
        <w:rPr>
          <w:rFonts w:ascii="Times New Roman" w:hAnsi="Times New Roman" w:cs="Times New Roman"/>
        </w:rPr>
      </w:pPr>
    </w:p>
    <w:p w14:paraId="2E3A9640" w14:textId="77777777" w:rsidR="00874A40" w:rsidRDefault="00874A40" w:rsidP="00CB1ECB">
      <w:pPr>
        <w:spacing w:line="480" w:lineRule="auto"/>
        <w:jc w:val="center"/>
        <w:rPr>
          <w:rFonts w:ascii="Times New Roman" w:hAnsi="Times New Roman" w:cs="Times New Roman"/>
        </w:rPr>
      </w:pPr>
    </w:p>
    <w:p w14:paraId="3AD85844" w14:textId="77777777" w:rsidR="00874A40" w:rsidRDefault="00874A40" w:rsidP="00CB1ECB">
      <w:pPr>
        <w:spacing w:line="480" w:lineRule="auto"/>
        <w:jc w:val="center"/>
        <w:rPr>
          <w:rFonts w:ascii="Times New Roman" w:hAnsi="Times New Roman" w:cs="Times New Roman"/>
        </w:rPr>
      </w:pPr>
    </w:p>
    <w:p w14:paraId="707E5AF0" w14:textId="77777777" w:rsidR="00874A40" w:rsidRDefault="00874A40" w:rsidP="00CB1ECB">
      <w:pPr>
        <w:spacing w:line="480" w:lineRule="auto"/>
        <w:jc w:val="center"/>
        <w:rPr>
          <w:rFonts w:ascii="Times New Roman" w:hAnsi="Times New Roman" w:cs="Times New Roman"/>
        </w:rPr>
      </w:pPr>
    </w:p>
    <w:p w14:paraId="7DC1067D" w14:textId="77777777" w:rsidR="00874A40" w:rsidRDefault="00874A40" w:rsidP="00CB1ECB">
      <w:pPr>
        <w:spacing w:line="480" w:lineRule="auto"/>
        <w:jc w:val="center"/>
        <w:rPr>
          <w:rFonts w:ascii="Times New Roman" w:hAnsi="Times New Roman" w:cs="Times New Roman"/>
        </w:rPr>
      </w:pPr>
    </w:p>
    <w:p w14:paraId="6F279B23" w14:textId="77777777" w:rsidR="00197E4A" w:rsidRDefault="00197E4A" w:rsidP="00CB1ECB">
      <w:pPr>
        <w:spacing w:line="480" w:lineRule="auto"/>
        <w:jc w:val="center"/>
        <w:rPr>
          <w:rFonts w:ascii="Times New Roman" w:hAnsi="Times New Roman" w:cs="Times New Roman"/>
          <w:b/>
          <w:bCs/>
        </w:rPr>
      </w:pPr>
      <w:r w:rsidRPr="00197E4A">
        <w:rPr>
          <w:rFonts w:ascii="Times New Roman" w:hAnsi="Times New Roman" w:cs="Times New Roman"/>
          <w:b/>
          <w:bCs/>
        </w:rPr>
        <w:t>Data Repositories in an Integrated Health and Nutrition Companion Application</w:t>
      </w:r>
    </w:p>
    <w:p w14:paraId="3BB30F3B" w14:textId="7E2CE951" w:rsidR="00874A40" w:rsidRDefault="00874A40" w:rsidP="00CB1ECB">
      <w:pPr>
        <w:spacing w:line="480" w:lineRule="auto"/>
        <w:jc w:val="center"/>
        <w:rPr>
          <w:rFonts w:ascii="Times New Roman" w:hAnsi="Times New Roman" w:cs="Times New Roman"/>
          <w:b/>
          <w:bCs/>
        </w:rPr>
      </w:pPr>
      <w:proofErr w:type="spellStart"/>
      <w:r>
        <w:rPr>
          <w:rFonts w:ascii="Times New Roman" w:hAnsi="Times New Roman" w:cs="Times New Roman"/>
          <w:b/>
          <w:bCs/>
        </w:rPr>
        <w:t>itle</w:t>
      </w:r>
      <w:proofErr w:type="spellEnd"/>
    </w:p>
    <w:p w14:paraId="7DC0E8E8" w14:textId="65298FEB" w:rsidR="00874A40" w:rsidRDefault="00874A40" w:rsidP="00CB1ECB">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6B707B59" w14:textId="63382777" w:rsidR="00874A40" w:rsidRDefault="00874A40" w:rsidP="00CB1ECB">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57F0D659" w14:textId="77777777" w:rsidR="007E5F29" w:rsidRDefault="007C5077" w:rsidP="00CB1ECB">
      <w:pPr>
        <w:spacing w:line="480" w:lineRule="auto"/>
        <w:jc w:val="center"/>
        <w:rPr>
          <w:rFonts w:ascii="Times New Roman" w:hAnsi="Times New Roman" w:cs="Times New Roman"/>
        </w:rPr>
      </w:pPr>
      <w:r w:rsidRPr="007C5077">
        <w:rPr>
          <w:rFonts w:ascii="Times New Roman" w:hAnsi="Times New Roman" w:cs="Times New Roman"/>
        </w:rPr>
        <w:t>DDS-8500: Principles of Data Science</w:t>
      </w:r>
    </w:p>
    <w:p w14:paraId="5E8E743F" w14:textId="77777777" w:rsidR="00D10DF0" w:rsidRDefault="00D10DF0" w:rsidP="00CB1ECB">
      <w:pPr>
        <w:spacing w:line="480" w:lineRule="auto"/>
        <w:jc w:val="center"/>
        <w:rPr>
          <w:rFonts w:ascii="Times New Roman" w:hAnsi="Times New Roman" w:cs="Times New Roman"/>
        </w:rPr>
      </w:pPr>
      <w:r w:rsidRPr="00D10DF0">
        <w:rPr>
          <w:rFonts w:ascii="Times New Roman" w:hAnsi="Times New Roman" w:cs="Times New Roman"/>
        </w:rPr>
        <w:t>Dr. Javier E. León</w:t>
      </w:r>
    </w:p>
    <w:p w14:paraId="56FCF570" w14:textId="39326D0E" w:rsidR="00874A40" w:rsidRDefault="00874A40" w:rsidP="00CB1ECB">
      <w:pPr>
        <w:spacing w:line="480" w:lineRule="auto"/>
        <w:jc w:val="center"/>
        <w:rPr>
          <w:rFonts w:ascii="Times New Roman" w:hAnsi="Times New Roman" w:cs="Times New Roman"/>
        </w:rPr>
      </w:pPr>
      <w:r>
        <w:rPr>
          <w:rFonts w:ascii="Times New Roman" w:hAnsi="Times New Roman" w:cs="Times New Roman"/>
        </w:rPr>
        <w:t>Date</w:t>
      </w:r>
    </w:p>
    <w:p w14:paraId="19DAE70C" w14:textId="77777777" w:rsidR="00874A40" w:rsidRDefault="00874A40" w:rsidP="00CB1ECB">
      <w:pPr>
        <w:spacing w:line="480" w:lineRule="auto"/>
        <w:rPr>
          <w:rFonts w:ascii="Times New Roman" w:hAnsi="Times New Roman" w:cs="Times New Roman"/>
        </w:rPr>
      </w:pPr>
      <w:r>
        <w:rPr>
          <w:rFonts w:ascii="Times New Roman" w:hAnsi="Times New Roman" w:cs="Times New Roman"/>
        </w:rPr>
        <w:br w:type="page"/>
      </w:r>
    </w:p>
    <w:p w14:paraId="76576766" w14:textId="77777777" w:rsidR="00AB4B12" w:rsidRDefault="00197E4A" w:rsidP="00AB4B12">
      <w:pPr>
        <w:spacing w:line="480" w:lineRule="auto"/>
        <w:jc w:val="center"/>
        <w:rPr>
          <w:rFonts w:ascii="Times New Roman" w:hAnsi="Times New Roman" w:cs="Times New Roman"/>
          <w:b/>
          <w:bCs/>
        </w:rPr>
      </w:pPr>
      <w:r w:rsidRPr="00197E4A">
        <w:rPr>
          <w:rFonts w:ascii="Times New Roman" w:hAnsi="Times New Roman" w:cs="Times New Roman"/>
          <w:b/>
          <w:bCs/>
        </w:rPr>
        <w:lastRenderedPageBreak/>
        <w:t>Data Repositories in an Integrated Health and Nutrition Companion Application</w:t>
      </w:r>
    </w:p>
    <w:p w14:paraId="06FAD578" w14:textId="1AE3F231"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 xml:space="preserve">Modern artificial intelligence and data science applications depend on the ability to ingest, organize, and reason over large volumes of heterogeneous data. As these systems become more adaptive and personalized, the challenge is no longer simply storing data, but structuring it in a way that supports learning, safety, and explainability. No single data repository can satisfy </w:t>
      </w:r>
      <w:proofErr w:type="gramStart"/>
      <w:r w:rsidRPr="004A053A">
        <w:rPr>
          <w:rFonts w:ascii="Times New Roman" w:hAnsi="Times New Roman" w:cs="Times New Roman"/>
        </w:rPr>
        <w:t>all of</w:t>
      </w:r>
      <w:proofErr w:type="gramEnd"/>
      <w:r w:rsidRPr="004A053A">
        <w:rPr>
          <w:rFonts w:ascii="Times New Roman" w:hAnsi="Times New Roman" w:cs="Times New Roman"/>
        </w:rPr>
        <w:t xml:space="preserve"> these requirements simultaneously. Instead, effective AI systems rely on multiple repositories, each optimized for a specific role within the data lifecycle.</w:t>
      </w:r>
    </w:p>
    <w:p w14:paraId="180B1818" w14:textId="232096FF"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Data lakes, relational databases, and graph databases represent three foundational repository types commonly used in contemporary architectures. Data lakes provide scalable storage for raw and diverse data. Relational databases enforce structure, consistency, and governance over critical facts. Graph databases enable reasoning over relationships and support personalization. Together, these repositories form the backbone of many intelligent systems.</w:t>
      </w:r>
    </w:p>
    <w:p w14:paraId="55EC35DE" w14:textId="3EB97368"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This paper examines these three repositories through the lens of an Integrated Health and Nutrition Companion Application. The application aggregates health data from wearable devices, medical records, and user inputs to provide real-time insights, personalized nutrition guidance, and conversational access to health information. Rather than presenting repositories in a traditional instructional order, this paper examines them in the logical order in which data flows through the application. Vector databases are discussed throughout as a supporting semantic layer that connects repositories without serving as a source of truth.</w:t>
      </w:r>
    </w:p>
    <w:p w14:paraId="3A29F638" w14:textId="3BA0177C"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Section 1: Data Lake – Foundation and System Memory</w:t>
      </w:r>
    </w:p>
    <w:p w14:paraId="45B56998" w14:textId="22F1508E"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The data lake serves as the foundational layer of the application, functioning as the system’s long-term memory. A data lake stores raw data in its original format using a schema-on-</w:t>
      </w:r>
      <w:r w:rsidRPr="004A053A">
        <w:rPr>
          <w:rFonts w:ascii="Times New Roman" w:hAnsi="Times New Roman" w:cs="Times New Roman"/>
        </w:rPr>
        <w:lastRenderedPageBreak/>
        <w:t>read approach, allowing diverse data to be ingested without imposing premature structural constraints. This design is essential in environments where data sources are numerous, evolving, and not fully understood at the time of collection.</w:t>
      </w:r>
    </w:p>
    <w:p w14:paraId="436D6D04" w14:textId="53FC671B"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 xml:space="preserve">In the proposed application, the data lake ingests continuous glucose monitor readings, blood pressure logs, wearable telemetry, electronic health record extracts, and user-uploaded medical documents such as laboratory reports and physician notes. These data vary widely in structure, frequency, and reliability. Attempting to normalize them at ingestion would </w:t>
      </w:r>
      <w:proofErr w:type="gramStart"/>
      <w:r w:rsidRPr="004A053A">
        <w:rPr>
          <w:rFonts w:ascii="Times New Roman" w:hAnsi="Times New Roman" w:cs="Times New Roman"/>
        </w:rPr>
        <w:t>slow</w:t>
      </w:r>
      <w:proofErr w:type="gramEnd"/>
      <w:r w:rsidRPr="004A053A">
        <w:rPr>
          <w:rFonts w:ascii="Times New Roman" w:hAnsi="Times New Roman" w:cs="Times New Roman"/>
        </w:rPr>
        <w:t xml:space="preserve"> the system and limit future analytical flexibility.</w:t>
      </w:r>
    </w:p>
    <w:p w14:paraId="7B25AE47" w14:textId="22C22E98"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Preserving raw data is critical for machine learning and personalization. As models evolve, new features may be derived from historical data that was not initially considered important. Retaining raw data ensures that future insights are not constrained by earlier design assumptions. The data lake also supports retrospective analysis, population-level trend discovery, and model retraining.</w:t>
      </w:r>
    </w:p>
    <w:p w14:paraId="47C4EBDE" w14:textId="17E723C0"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Vectorization begins at this layer but does not replace it. Uploaded documents are stored intact in the data lake, while extracted text is embedded into vector representations to support semantic retrieval. These embeddings enhance usability, particularly in conversational interfaces, but the authoritative source remains the original document stored in the lake.</w:t>
      </w:r>
    </w:p>
    <w:p w14:paraId="649AE8A1" w14:textId="4943E968"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Despite its importance, the data lake is not a decision-making engine. Raw data may be incomplete or ambiguous and cannot safely drive alerts or recommendations without further validation. For this reason, curated data is promoted into downstream repositories designed for governance and reasoning.</w:t>
      </w:r>
    </w:p>
    <w:p w14:paraId="6C3DEC20" w14:textId="2B3E8726"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Section 2: Relational Database – Trusted Core and Safety Layer</w:t>
      </w:r>
    </w:p>
    <w:p w14:paraId="5D1E1C12" w14:textId="16A0BD74"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lastRenderedPageBreak/>
        <w:t>The relational database functions as the trusted core of the application. Relational databases manage structured data using predefined schemas, constraints, and transactional guarantees, ensuring consistency and auditability. In health-related applications, this reliability is essential.</w:t>
      </w:r>
    </w:p>
    <w:p w14:paraId="7C65B58D" w14:textId="234E8911"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This layer stores information that must always be correct, including user identities, consent and privacy settings, known allergies, diagnosed conditions, current medications, and verified laboratory values. These data elements drive safety-critical logic, such as preventing recommendations that conflict with medical conditions or dietary restrictions.</w:t>
      </w:r>
    </w:p>
    <w:p w14:paraId="529DBB86" w14:textId="16DC637B"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Relational databases also support governance by enforcing access controls and maintaining audit trails. Only validated data is written to this layer, typically after extraction and verification from raw sources in the data lake. This separation ensures that AI-driven decisions rely on curated facts rather than unverified inputs.</w:t>
      </w:r>
    </w:p>
    <w:p w14:paraId="2E243692" w14:textId="0B606A41"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Free-text fields may be stored relationally for reference, but semantic access to their meaning is handled through vector embeddings. Structured values such as lab measurements remain authoritative in the relational database, while vector search improves accessibility without redefining truth.</w:t>
      </w:r>
    </w:p>
    <w:p w14:paraId="3E4E3CC8" w14:textId="77777777" w:rsidR="004A053A" w:rsidRPr="004A053A" w:rsidRDefault="004A053A" w:rsidP="004A053A">
      <w:pPr>
        <w:spacing w:line="480" w:lineRule="auto"/>
        <w:ind w:firstLine="720"/>
        <w:rPr>
          <w:rFonts w:ascii="Times New Roman" w:hAnsi="Times New Roman" w:cs="Times New Roman"/>
        </w:rPr>
      </w:pPr>
      <w:r w:rsidRPr="004A053A">
        <w:rPr>
          <w:rFonts w:ascii="Times New Roman" w:hAnsi="Times New Roman" w:cs="Times New Roman"/>
        </w:rPr>
        <w:t>Relational databases integrate with analytics workflows by providing stable inputs for alerts, summaries, and thresholds. For example, sustained abnormal readings trigger alerts based on validated relational records, even if the underlying raw measurements originated elsewhere. This design ensures deterministic and explainable behavior.</w:t>
      </w:r>
    </w:p>
    <w:p w14:paraId="5A7E91E8" w14:textId="77777777" w:rsidR="004A053A" w:rsidRPr="004A053A" w:rsidRDefault="004A053A" w:rsidP="004A053A">
      <w:pPr>
        <w:spacing w:line="480" w:lineRule="auto"/>
        <w:ind w:firstLine="720"/>
        <w:rPr>
          <w:rFonts w:ascii="Times New Roman" w:hAnsi="Times New Roman" w:cs="Times New Roman"/>
        </w:rPr>
      </w:pPr>
    </w:p>
    <w:p w14:paraId="3BCE43F5" w14:textId="55304354"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lastRenderedPageBreak/>
        <w:t>While relational databases excel at correctness and governance, they are not suited for raw data ingestion or large-scale experimentation. Their role is intentionally scoped to managing essential facts rather than all available data.</w:t>
      </w:r>
    </w:p>
    <w:p w14:paraId="114B7765" w14:textId="2277B7D1"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Section 3: Graph Database – Reasoning and Personalization Layer</w:t>
      </w:r>
    </w:p>
    <w:p w14:paraId="29577892" w14:textId="4DE237D9"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Personalization and adaptive learning require understanding how entities relate to one another over time. The graph database fulfills this role by explicitly modeling relationships between users, foods, biomarkers, medical conditions, and behaviors.</w:t>
      </w:r>
    </w:p>
    <w:p w14:paraId="2EE41C77" w14:textId="7C359AD2"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 xml:space="preserve">In the application, nodes represent entities such as users, ingredients, nutrients, diagnoses, and recipes, while edges capture interactions such as consumption, physiological response, or substitution. These relationships preserve context and enable reasoning that cannot be efficiently expressed using tabular </w:t>
      </w:r>
      <w:proofErr w:type="gramStart"/>
      <w:r w:rsidRPr="004A053A">
        <w:rPr>
          <w:rFonts w:ascii="Times New Roman" w:hAnsi="Times New Roman" w:cs="Times New Roman"/>
        </w:rPr>
        <w:t>joins</w:t>
      </w:r>
      <w:proofErr w:type="gramEnd"/>
      <w:r w:rsidRPr="004A053A">
        <w:rPr>
          <w:rFonts w:ascii="Times New Roman" w:hAnsi="Times New Roman" w:cs="Times New Roman"/>
        </w:rPr>
        <w:t>.</w:t>
      </w:r>
    </w:p>
    <w:p w14:paraId="1E20B3CE" w14:textId="1205EC09"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The graph database supports multi-hop reasoning, allowing the system to identify patterns such as foods that consistently lead to glucose spikes for a specific user or alternatives that have produced better outcomes in similar contexts. Over time, relationships can be weighted and refined based on observed responses, enabling personalized recommendations grounded in empirical data rather than static rules.</w:t>
      </w:r>
    </w:p>
    <w:p w14:paraId="4AC2AE3E" w14:textId="26BDCF20"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Vector embeddings enhance access to the graph by enabling semantic similarity searches across nodes, such as identifying nutritionally similar foods or culturally appropriate substitutes. However, the graph remains authoritative for relationship logic, while vectors serve as an acceleration mechanism for retrieval.</w:t>
      </w:r>
    </w:p>
    <w:p w14:paraId="78BD8B40" w14:textId="32E4E205"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 xml:space="preserve">The graph database does not act as a system of </w:t>
      </w:r>
      <w:proofErr w:type="gramStart"/>
      <w:r w:rsidRPr="004A053A">
        <w:rPr>
          <w:rFonts w:ascii="Times New Roman" w:hAnsi="Times New Roman" w:cs="Times New Roman"/>
        </w:rPr>
        <w:t>record</w:t>
      </w:r>
      <w:proofErr w:type="gramEnd"/>
      <w:r w:rsidRPr="004A053A">
        <w:rPr>
          <w:rFonts w:ascii="Times New Roman" w:hAnsi="Times New Roman" w:cs="Times New Roman"/>
        </w:rPr>
        <w:t xml:space="preserve">. It derives relationships from validated facts stored in the relational database and historical observations stored in the data lake. </w:t>
      </w:r>
      <w:r w:rsidRPr="004A053A">
        <w:rPr>
          <w:rFonts w:ascii="Times New Roman" w:hAnsi="Times New Roman" w:cs="Times New Roman"/>
        </w:rPr>
        <w:lastRenderedPageBreak/>
        <w:t>This design allows relationships to evolve as new data becomes available while maintaining alignment with governed sources.</w:t>
      </w:r>
    </w:p>
    <w:p w14:paraId="3CC4022F" w14:textId="3189AE51"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By preserving relational context, the graph database enables explainable AI. Recommendations can be traced through explicit relationships, improving transparency and user trust.</w:t>
      </w:r>
    </w:p>
    <w:p w14:paraId="4CEF3C35" w14:textId="07B270F5"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Section 4: Comparison and Justification – A Unified System Architecture</w:t>
      </w:r>
    </w:p>
    <w:p w14:paraId="5415D78D" w14:textId="6A067F40"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Viewed together, the three repositories address complementary requirements that no single system can satisfy alone. The data lake provides scale and flexibility, capturing raw data for future analysis. The relational database enforces correctness and governance over safety-critical facts. The graph database enables reasoning and personalization by preserving relationships.</w:t>
      </w:r>
    </w:p>
    <w:p w14:paraId="126174C5" w14:textId="25C87FED"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Each repository has limitations when used in isolation. The data lake lacks constraints and cannot safely drive decisions. Relational databases are ill suited for unstructured data and complex relational reasoning. Graph databases depend on upstream systems for authoritative data and historical context.</w:t>
      </w:r>
    </w:p>
    <w:p w14:paraId="3FC955C6" w14:textId="77777777" w:rsidR="004A053A" w:rsidRPr="004A053A" w:rsidRDefault="004A053A" w:rsidP="004A053A">
      <w:pPr>
        <w:spacing w:line="480" w:lineRule="auto"/>
        <w:ind w:firstLine="720"/>
        <w:rPr>
          <w:rFonts w:ascii="Times New Roman" w:hAnsi="Times New Roman" w:cs="Times New Roman"/>
        </w:rPr>
      </w:pPr>
      <w:r w:rsidRPr="004A053A">
        <w:rPr>
          <w:rFonts w:ascii="Times New Roman" w:hAnsi="Times New Roman" w:cs="Times New Roman"/>
        </w:rPr>
        <w:t>Vector databases function as a semantic layer that connects these repositories without redefining data ownership. By storing derived embeddings, vector databases enable efficient conversational interaction and contextual retrieval while preserving clear boundaries around truth and governance.</w:t>
      </w:r>
    </w:p>
    <w:p w14:paraId="29EC6D37" w14:textId="77777777" w:rsidR="004A053A" w:rsidRPr="004A053A" w:rsidRDefault="004A053A" w:rsidP="004A053A">
      <w:pPr>
        <w:spacing w:line="480" w:lineRule="auto"/>
        <w:ind w:firstLine="720"/>
        <w:rPr>
          <w:rFonts w:ascii="Times New Roman" w:hAnsi="Times New Roman" w:cs="Times New Roman"/>
        </w:rPr>
      </w:pPr>
    </w:p>
    <w:p w14:paraId="59F34125" w14:textId="7EBDC62C"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lastRenderedPageBreak/>
        <w:t>This layered architecture ensures that intelligence emerges from the interaction of repositories rather than from any single component. Removing any layer would reduce scalability, safety, or personalization, demonstrating the necessity of a hybrid approach.</w:t>
      </w:r>
    </w:p>
    <w:p w14:paraId="64D8B222" w14:textId="408E93E4"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Section 5: Architectural Recommendations Informed by Scholarly Research</w:t>
      </w:r>
    </w:p>
    <w:p w14:paraId="1406FEF9" w14:textId="22A960BD"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To implement this system in practice, a centralized data lake should serve as the ingestion backbone, retaining raw sensor data, documents, and historical logs to support continuous learning and reuse. Research on data sharing and reuse emphasizes the importance of preserving original datasets to enable reproducibility and future analytical flexibility.</w:t>
      </w:r>
    </w:p>
    <w:p w14:paraId="4F8613D7" w14:textId="16D26A48"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A relational database such as PostgreSQL is recommended for the trusted core due to its transactional guarantees, governance capabilities, and compatibility with regulated environments. Verified health facts, consent records, and safety constraints should reside in this layer to ensure correctness and accountability.</w:t>
      </w:r>
    </w:p>
    <w:p w14:paraId="4273C3D5" w14:textId="0B5468A5" w:rsidR="004A053A" w:rsidRPr="004A053A" w:rsidRDefault="004A053A" w:rsidP="00E856D2">
      <w:pPr>
        <w:spacing w:line="480" w:lineRule="auto"/>
        <w:ind w:firstLine="720"/>
        <w:rPr>
          <w:rFonts w:ascii="Times New Roman" w:hAnsi="Times New Roman" w:cs="Times New Roman"/>
        </w:rPr>
      </w:pPr>
      <w:r w:rsidRPr="004A053A">
        <w:rPr>
          <w:rFonts w:ascii="Times New Roman" w:hAnsi="Times New Roman" w:cs="Times New Roman"/>
        </w:rPr>
        <w:t>A dedicated graph database should support personalization and reasoning by modeling relationships among health, nutrition, and behavioral entities. Scholarly work on data curation and institutional repositories highlights the importance of preserving relationships to enable contextual understanding and reuse.</w:t>
      </w:r>
    </w:p>
    <w:p w14:paraId="6E2C87AF" w14:textId="77777777" w:rsidR="004A053A" w:rsidRPr="004A053A" w:rsidRDefault="004A053A" w:rsidP="004A053A">
      <w:pPr>
        <w:spacing w:line="480" w:lineRule="auto"/>
        <w:ind w:firstLine="720"/>
        <w:rPr>
          <w:rFonts w:ascii="Times New Roman" w:hAnsi="Times New Roman" w:cs="Times New Roman"/>
        </w:rPr>
      </w:pPr>
      <w:r w:rsidRPr="004A053A">
        <w:rPr>
          <w:rFonts w:ascii="Times New Roman" w:hAnsi="Times New Roman" w:cs="Times New Roman"/>
        </w:rPr>
        <w:t>Vector databases should be integrated as a semantic access layer, enabling conversational interfaces and efficient retrieval across repositories. Research on intelligent data governance supports the use of derived representations to improve usability while maintaining clear distinctions between authoritative data and access mechanisms.</w:t>
      </w:r>
    </w:p>
    <w:p w14:paraId="3D5E4574" w14:textId="77777777" w:rsidR="004A053A" w:rsidRPr="004A053A" w:rsidRDefault="004A053A" w:rsidP="004A053A">
      <w:pPr>
        <w:spacing w:line="480" w:lineRule="auto"/>
        <w:ind w:firstLine="720"/>
        <w:rPr>
          <w:rFonts w:ascii="Times New Roman" w:hAnsi="Times New Roman" w:cs="Times New Roman"/>
        </w:rPr>
      </w:pPr>
    </w:p>
    <w:p w14:paraId="31923123" w14:textId="114D2849" w:rsidR="004A053A" w:rsidRPr="004A053A" w:rsidRDefault="004A053A" w:rsidP="0040472C">
      <w:pPr>
        <w:spacing w:line="480" w:lineRule="auto"/>
        <w:ind w:firstLine="720"/>
        <w:rPr>
          <w:rFonts w:ascii="Times New Roman" w:hAnsi="Times New Roman" w:cs="Times New Roman"/>
        </w:rPr>
      </w:pPr>
      <w:r w:rsidRPr="004A053A">
        <w:rPr>
          <w:rFonts w:ascii="Times New Roman" w:hAnsi="Times New Roman" w:cs="Times New Roman"/>
        </w:rPr>
        <w:lastRenderedPageBreak/>
        <w:t>Conclusion</w:t>
      </w:r>
    </w:p>
    <w:p w14:paraId="07FE187D" w14:textId="6DE2FC88" w:rsidR="004A053A" w:rsidRPr="004A053A" w:rsidRDefault="004A053A" w:rsidP="0040472C">
      <w:pPr>
        <w:spacing w:line="480" w:lineRule="auto"/>
        <w:ind w:firstLine="720"/>
        <w:rPr>
          <w:rFonts w:ascii="Times New Roman" w:hAnsi="Times New Roman" w:cs="Times New Roman"/>
        </w:rPr>
      </w:pPr>
      <w:r w:rsidRPr="004A053A">
        <w:rPr>
          <w:rFonts w:ascii="Times New Roman" w:hAnsi="Times New Roman" w:cs="Times New Roman"/>
        </w:rPr>
        <w:t>This paper demonstrated how data lakes, relational databases, and graph databases can be combined to support an AI-driven health and nutrition companion application. Each repository fulfills a distinct role within the data lifecycle: the data lake preserves raw history, the relational database governs trusted facts, and the graph database enables reasoning and personalization. Vector databases enhance access across these layers without serving as sources of truth.</w:t>
      </w:r>
    </w:p>
    <w:p w14:paraId="29F6E938" w14:textId="39FE1F65" w:rsidR="00874A40" w:rsidRDefault="004A053A" w:rsidP="004A053A">
      <w:pPr>
        <w:spacing w:line="480" w:lineRule="auto"/>
        <w:ind w:firstLine="720"/>
        <w:rPr>
          <w:rFonts w:ascii="Times New Roman" w:hAnsi="Times New Roman" w:cs="Times New Roman"/>
          <w:b/>
          <w:bCs/>
        </w:rPr>
      </w:pPr>
      <w:r w:rsidRPr="004A053A">
        <w:rPr>
          <w:rFonts w:ascii="Times New Roman" w:hAnsi="Times New Roman" w:cs="Times New Roman"/>
        </w:rPr>
        <w:t>The analysis shows that effective AI systems depend on layered architectures that balance flexibility, governance, and explainability. By orchestrating multiple repositories, the proposed system supports adaptive intelligence while maintaining safety and trust. This approach provides a scalable foundation for future AI applications in personal health, nutrition, and preventive care.</w:t>
      </w:r>
      <w:r w:rsidR="00874A40">
        <w:rPr>
          <w:rFonts w:ascii="Times New Roman" w:hAnsi="Times New Roman" w:cs="Times New Roman"/>
          <w:b/>
          <w:bCs/>
        </w:rPr>
        <w:br w:type="page"/>
      </w:r>
    </w:p>
    <w:p w14:paraId="19B3205B" w14:textId="23A49EB5" w:rsidR="00874A40" w:rsidRDefault="00874A40" w:rsidP="00874A40">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4E1DA08C" w14:textId="77777777" w:rsidR="00874A40" w:rsidRDefault="00874A40" w:rsidP="00874A40">
      <w:pPr>
        <w:spacing w:line="480" w:lineRule="auto"/>
        <w:ind w:left="720" w:hanging="720"/>
        <w:rPr>
          <w:rFonts w:ascii="Times New Roman" w:hAnsi="Times New Roman" w:cs="Times New Roman"/>
          <w:b/>
          <w:bCs/>
        </w:rPr>
      </w:pPr>
    </w:p>
    <w:p w14:paraId="56367C51" w14:textId="77777777" w:rsidR="00874A40" w:rsidRPr="00874A40" w:rsidRDefault="00874A40" w:rsidP="00874A40">
      <w:pPr>
        <w:spacing w:line="480" w:lineRule="auto"/>
        <w:jc w:val="center"/>
        <w:rPr>
          <w:rFonts w:ascii="Times New Roman" w:hAnsi="Times New Roman" w:cs="Times New Roman"/>
        </w:rPr>
      </w:pPr>
    </w:p>
    <w:sectPr w:rsidR="00874A40" w:rsidRPr="00874A4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E0FDB" w14:textId="77777777" w:rsidR="00EB7575" w:rsidRDefault="00EB7575" w:rsidP="00874A40">
      <w:pPr>
        <w:spacing w:after="0" w:line="240" w:lineRule="auto"/>
      </w:pPr>
      <w:r>
        <w:separator/>
      </w:r>
    </w:p>
  </w:endnote>
  <w:endnote w:type="continuationSeparator" w:id="0">
    <w:p w14:paraId="40901376" w14:textId="77777777" w:rsidR="00EB7575" w:rsidRDefault="00EB7575" w:rsidP="008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82566" w14:textId="77777777" w:rsidR="00EB7575" w:rsidRDefault="00EB7575" w:rsidP="00874A40">
      <w:pPr>
        <w:spacing w:after="0" w:line="240" w:lineRule="auto"/>
      </w:pPr>
      <w:r>
        <w:separator/>
      </w:r>
    </w:p>
  </w:footnote>
  <w:footnote w:type="continuationSeparator" w:id="0">
    <w:p w14:paraId="3ADACD6A" w14:textId="77777777" w:rsidR="00EB7575" w:rsidRDefault="00EB7575" w:rsidP="00874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899483"/>
      <w:docPartObj>
        <w:docPartGallery w:val="Page Numbers (Top of Page)"/>
        <w:docPartUnique/>
      </w:docPartObj>
    </w:sdtPr>
    <w:sdtEndPr>
      <w:rPr>
        <w:rFonts w:ascii="Times New Roman" w:hAnsi="Times New Roman" w:cs="Times New Roman"/>
        <w:noProof/>
      </w:rPr>
    </w:sdtEndPr>
    <w:sdtContent>
      <w:p w14:paraId="3E7662D4" w14:textId="288BA216" w:rsidR="00874A40" w:rsidRPr="00874A40" w:rsidRDefault="00874A40">
        <w:pPr>
          <w:pStyle w:val="Header"/>
          <w:jc w:val="right"/>
          <w:rPr>
            <w:rFonts w:ascii="Times New Roman" w:hAnsi="Times New Roman" w:cs="Times New Roman"/>
          </w:rPr>
        </w:pPr>
        <w:r w:rsidRPr="00874A40">
          <w:rPr>
            <w:rFonts w:ascii="Times New Roman" w:hAnsi="Times New Roman" w:cs="Times New Roman"/>
          </w:rPr>
          <w:fldChar w:fldCharType="begin"/>
        </w:r>
        <w:r w:rsidRPr="00874A40">
          <w:rPr>
            <w:rFonts w:ascii="Times New Roman" w:hAnsi="Times New Roman" w:cs="Times New Roman"/>
          </w:rPr>
          <w:instrText xml:space="preserve"> PAGE   \* MERGEFORMAT </w:instrText>
        </w:r>
        <w:r w:rsidRPr="00874A40">
          <w:rPr>
            <w:rFonts w:ascii="Times New Roman" w:hAnsi="Times New Roman" w:cs="Times New Roman"/>
          </w:rPr>
          <w:fldChar w:fldCharType="separate"/>
        </w:r>
        <w:r w:rsidRPr="00874A40">
          <w:rPr>
            <w:rFonts w:ascii="Times New Roman" w:hAnsi="Times New Roman" w:cs="Times New Roman"/>
            <w:noProof/>
          </w:rPr>
          <w:t>2</w:t>
        </w:r>
        <w:r w:rsidRPr="00874A40">
          <w:rPr>
            <w:rFonts w:ascii="Times New Roman" w:hAnsi="Times New Roman" w:cs="Times New Roman"/>
            <w:noProof/>
          </w:rPr>
          <w:fldChar w:fldCharType="end"/>
        </w:r>
      </w:p>
    </w:sdtContent>
  </w:sdt>
  <w:p w14:paraId="37EE21C4" w14:textId="77777777" w:rsidR="00874A40" w:rsidRDefault="00874A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40"/>
    <w:rsid w:val="00026376"/>
    <w:rsid w:val="00097E35"/>
    <w:rsid w:val="001541F9"/>
    <w:rsid w:val="00172536"/>
    <w:rsid w:val="001765B8"/>
    <w:rsid w:val="00197E4A"/>
    <w:rsid w:val="00246A87"/>
    <w:rsid w:val="002603EF"/>
    <w:rsid w:val="002646CA"/>
    <w:rsid w:val="00383C12"/>
    <w:rsid w:val="003A2443"/>
    <w:rsid w:val="0040472C"/>
    <w:rsid w:val="004427A8"/>
    <w:rsid w:val="004A053A"/>
    <w:rsid w:val="00555F2C"/>
    <w:rsid w:val="006D4659"/>
    <w:rsid w:val="006D4B91"/>
    <w:rsid w:val="006D7623"/>
    <w:rsid w:val="006E23D5"/>
    <w:rsid w:val="007A7466"/>
    <w:rsid w:val="007C5077"/>
    <w:rsid w:val="007D3F25"/>
    <w:rsid w:val="007E5F29"/>
    <w:rsid w:val="0080219B"/>
    <w:rsid w:val="00802D52"/>
    <w:rsid w:val="00864D4F"/>
    <w:rsid w:val="00871085"/>
    <w:rsid w:val="00874A40"/>
    <w:rsid w:val="00902F77"/>
    <w:rsid w:val="009074C4"/>
    <w:rsid w:val="00927A11"/>
    <w:rsid w:val="00981177"/>
    <w:rsid w:val="00996FC1"/>
    <w:rsid w:val="009A63CB"/>
    <w:rsid w:val="00A97D5B"/>
    <w:rsid w:val="00AB4B12"/>
    <w:rsid w:val="00AB5282"/>
    <w:rsid w:val="00B579D9"/>
    <w:rsid w:val="00BD0793"/>
    <w:rsid w:val="00C165DD"/>
    <w:rsid w:val="00CB1ECB"/>
    <w:rsid w:val="00D10DF0"/>
    <w:rsid w:val="00D61A6D"/>
    <w:rsid w:val="00DF2784"/>
    <w:rsid w:val="00E111CB"/>
    <w:rsid w:val="00E838ED"/>
    <w:rsid w:val="00E856D2"/>
    <w:rsid w:val="00E95953"/>
    <w:rsid w:val="00EB7575"/>
    <w:rsid w:val="00F36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9EE"/>
  <w15:chartTrackingRefBased/>
  <w15:docId w15:val="{83D59ADD-7447-4F88-B4D2-D84266E2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40"/>
  </w:style>
  <w:style w:type="paragraph" w:styleId="Heading1">
    <w:name w:val="heading 1"/>
    <w:basedOn w:val="Normal"/>
    <w:next w:val="Normal"/>
    <w:link w:val="Heading1Char"/>
    <w:uiPriority w:val="9"/>
    <w:qFormat/>
    <w:rsid w:val="0087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40"/>
    <w:rPr>
      <w:rFonts w:eastAsiaTheme="majorEastAsia" w:cstheme="majorBidi"/>
      <w:color w:val="272727" w:themeColor="text1" w:themeTint="D8"/>
    </w:rPr>
  </w:style>
  <w:style w:type="paragraph" w:styleId="Title">
    <w:name w:val="Title"/>
    <w:basedOn w:val="Normal"/>
    <w:next w:val="Normal"/>
    <w:link w:val="TitleChar"/>
    <w:uiPriority w:val="10"/>
    <w:qFormat/>
    <w:rsid w:val="008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A40"/>
    <w:rPr>
      <w:i/>
      <w:iCs/>
      <w:color w:val="404040" w:themeColor="text1" w:themeTint="BF"/>
    </w:rPr>
  </w:style>
  <w:style w:type="paragraph" w:styleId="ListParagraph">
    <w:name w:val="List Paragraph"/>
    <w:basedOn w:val="Normal"/>
    <w:uiPriority w:val="34"/>
    <w:qFormat/>
    <w:rsid w:val="00874A40"/>
    <w:pPr>
      <w:ind w:left="720"/>
      <w:contextualSpacing/>
    </w:pPr>
  </w:style>
  <w:style w:type="character" w:styleId="IntenseEmphasis">
    <w:name w:val="Intense Emphasis"/>
    <w:basedOn w:val="DefaultParagraphFont"/>
    <w:uiPriority w:val="21"/>
    <w:qFormat/>
    <w:rsid w:val="00874A40"/>
    <w:rPr>
      <w:i/>
      <w:iCs/>
      <w:color w:val="0F4761" w:themeColor="accent1" w:themeShade="BF"/>
    </w:rPr>
  </w:style>
  <w:style w:type="paragraph" w:styleId="IntenseQuote">
    <w:name w:val="Intense Quote"/>
    <w:basedOn w:val="Normal"/>
    <w:next w:val="Normal"/>
    <w:link w:val="IntenseQuoteChar"/>
    <w:uiPriority w:val="30"/>
    <w:qFormat/>
    <w:rsid w:val="008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40"/>
    <w:rPr>
      <w:i/>
      <w:iCs/>
      <w:color w:val="0F4761" w:themeColor="accent1" w:themeShade="BF"/>
    </w:rPr>
  </w:style>
  <w:style w:type="character" w:styleId="IntenseReference">
    <w:name w:val="Intense Reference"/>
    <w:basedOn w:val="DefaultParagraphFont"/>
    <w:uiPriority w:val="32"/>
    <w:qFormat/>
    <w:rsid w:val="00874A40"/>
    <w:rPr>
      <w:b/>
      <w:bCs/>
      <w:smallCaps/>
      <w:color w:val="0F4761" w:themeColor="accent1" w:themeShade="BF"/>
      <w:spacing w:val="5"/>
    </w:rPr>
  </w:style>
  <w:style w:type="paragraph" w:styleId="Header">
    <w:name w:val="header"/>
    <w:basedOn w:val="Normal"/>
    <w:link w:val="HeaderChar"/>
    <w:uiPriority w:val="99"/>
    <w:unhideWhenUsed/>
    <w:rsid w:val="00874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40"/>
  </w:style>
  <w:style w:type="paragraph" w:styleId="Footer">
    <w:name w:val="footer"/>
    <w:basedOn w:val="Normal"/>
    <w:link w:val="FooterChar"/>
    <w:uiPriority w:val="99"/>
    <w:unhideWhenUsed/>
    <w:rsid w:val="00874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1501</Words>
  <Characters>9716</Characters>
  <Application>Microsoft Office Word</Application>
  <DocSecurity>0</DocSecurity>
  <Lines>186</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2</cp:revision>
  <dcterms:created xsi:type="dcterms:W3CDTF">2026-01-02T22:20:00Z</dcterms:created>
  <dcterms:modified xsi:type="dcterms:W3CDTF">2026-01-02T22:20:00Z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6b263c9e-ec63-468d-9a02-fd541b822840</vt:lpwstr>
  </property>
</Properties>
</file>