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F0E1" w14:textId="77777777" w:rsidR="004B01B6" w:rsidRPr="004B01B6" w:rsidRDefault="004B01B6" w:rsidP="004B01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B01B6">
        <w:rPr>
          <w:rFonts w:ascii="Times New Roman" w:hAnsi="Times New Roman" w:cs="Times New Roman"/>
          <w:b/>
          <w:bCs/>
        </w:rPr>
        <w:t>Journal 2: Reflections on the Role of Data Governance Then and Now</w:t>
      </w:r>
    </w:p>
    <w:p w14:paraId="138E9612" w14:textId="50AFE189" w:rsidR="00DC2F14" w:rsidRPr="00DC2F14" w:rsidRDefault="00DC2F14" w:rsidP="00DC2F14">
      <w:pPr>
        <w:spacing w:line="480" w:lineRule="auto"/>
        <w:ind w:firstLine="720"/>
        <w:rPr>
          <w:rFonts w:ascii="Times New Roman" w:hAnsi="Times New Roman" w:cs="Times New Roman"/>
        </w:rPr>
      </w:pPr>
      <w:r w:rsidRPr="00DC2F14">
        <w:rPr>
          <w:rFonts w:ascii="Times New Roman" w:hAnsi="Times New Roman" w:cs="Times New Roman"/>
        </w:rPr>
        <w:t xml:space="preserve">When I think about data governance in previous decades, I don’t think about formal frameworks or committees.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I think about IT departments quietly controlling systems in the background.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>Governance existed, but it was limited to access permissions, backups, and keeping systems running.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Data was mostly used for reporting within individual departments and rarely crossed organizational boundaries.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Because of this, there was little need to think about governance beyond basic operational control.</w:t>
      </w:r>
    </w:p>
    <w:p w14:paraId="601FEBCE" w14:textId="119118B8" w:rsidR="00DC2F14" w:rsidRPr="00DC2F14" w:rsidRDefault="00DC2F14" w:rsidP="00DC2F14">
      <w:pPr>
        <w:spacing w:line="480" w:lineRule="auto"/>
        <w:ind w:firstLine="720"/>
        <w:rPr>
          <w:rFonts w:ascii="Times New Roman" w:hAnsi="Times New Roman" w:cs="Times New Roman"/>
        </w:rPr>
      </w:pPr>
      <w:r w:rsidRPr="00DC2F14">
        <w:rPr>
          <w:rFonts w:ascii="Times New Roman" w:hAnsi="Times New Roman" w:cs="Times New Roman"/>
        </w:rPr>
        <w:t xml:space="preserve">That reality has changed significantly.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Today, data is no longer just something organizations store; it is something they actively rely on to make decisions. </w:t>
      </w:r>
      <w:r w:rsidR="00D67D52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Analytics, machine learning, and self-service BI have pushed data out of traditional IT silos and into the hands of business users, clinicians, and executives.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This shift has made data governance unavoidable. Governance now extends beyond basic control mechanisms </w:t>
      </w:r>
      <w:r w:rsidR="006609C9">
        <w:rPr>
          <w:rFonts w:ascii="Times New Roman" w:hAnsi="Times New Roman" w:cs="Times New Roman"/>
        </w:rPr>
        <w:t>to encompass</w:t>
      </w:r>
      <w:r w:rsidRPr="00DC2F14">
        <w:rPr>
          <w:rFonts w:ascii="Times New Roman" w:hAnsi="Times New Roman" w:cs="Times New Roman"/>
        </w:rPr>
        <w:t xml:space="preserve"> ethical data use, lifecycle stewardship, automated quality checks, and transparent access controls that scale with modern analytics environments (Katakam &amp; Rankin, 2025).</w:t>
      </w:r>
    </w:p>
    <w:p w14:paraId="43A631AD" w14:textId="2E3AB98D" w:rsidR="00DC2F14" w:rsidRPr="00DC2F14" w:rsidRDefault="00DC2F14" w:rsidP="00DC2F14">
      <w:pPr>
        <w:spacing w:line="480" w:lineRule="auto"/>
        <w:ind w:firstLine="720"/>
        <w:rPr>
          <w:rFonts w:ascii="Times New Roman" w:hAnsi="Times New Roman" w:cs="Times New Roman"/>
        </w:rPr>
      </w:pPr>
      <w:r w:rsidRPr="00DC2F14">
        <w:rPr>
          <w:rFonts w:ascii="Times New Roman" w:hAnsi="Times New Roman" w:cs="Times New Roman"/>
        </w:rPr>
        <w:t>I experienced this shift firsthand while working as a consultant on a data governance initiative at Temple University Health.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The organization was beginning to rely on data for informed decision-making and was implementing self-service BI using Power BI.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>While governance existed within IT, it was outdated and not designed for analytics.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As soon as data became more broadly accessible, governance questions emerged: who should have access to financial versus clinical data, how access should be requested and approved, what datasets should be created, and how those datasets should be documented and supported.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>This experience highlighted that data governance is not only about access control, but about ensuring data can be responsibly shared and reused over time.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Without clear governance structures</w:t>
      </w:r>
      <w:r w:rsidR="006609C9">
        <w:rPr>
          <w:rFonts w:ascii="Times New Roman" w:hAnsi="Times New Roman" w:cs="Times New Roman"/>
        </w:rPr>
        <w:t xml:space="preserve">, </w:t>
      </w:r>
      <w:r w:rsidRPr="00DC2F14">
        <w:rPr>
          <w:rFonts w:ascii="Times New Roman" w:hAnsi="Times New Roman" w:cs="Times New Roman"/>
        </w:rPr>
        <w:t xml:space="preserve">such as </w:t>
      </w:r>
      <w:r w:rsidRPr="00DC2F14">
        <w:rPr>
          <w:rFonts w:ascii="Times New Roman" w:hAnsi="Times New Roman" w:cs="Times New Roman"/>
        </w:rPr>
        <w:lastRenderedPageBreak/>
        <w:t>documentation standards, defined ownership, and managed access</w:t>
      </w:r>
      <w:r w:rsidR="006609C9">
        <w:rPr>
          <w:rFonts w:ascii="Times New Roman" w:hAnsi="Times New Roman" w:cs="Times New Roman"/>
        </w:rPr>
        <w:t xml:space="preserve">, </w:t>
      </w:r>
      <w:r w:rsidRPr="00DC2F14">
        <w:rPr>
          <w:rFonts w:ascii="Times New Roman" w:hAnsi="Times New Roman" w:cs="Times New Roman"/>
        </w:rPr>
        <w:t>data reuse becomes unreliable and difficult to sustain (The importance of effective data sharing and reuse…, 2022).</w:t>
      </w:r>
    </w:p>
    <w:p w14:paraId="59CC8CA4" w14:textId="3BF35FA1" w:rsidR="00DC2F14" w:rsidRPr="00DC2F14" w:rsidRDefault="00DC2F14" w:rsidP="00DC2F14">
      <w:pPr>
        <w:spacing w:line="480" w:lineRule="auto"/>
        <w:ind w:firstLine="720"/>
        <w:rPr>
          <w:rFonts w:ascii="Times New Roman" w:hAnsi="Times New Roman" w:cs="Times New Roman"/>
        </w:rPr>
      </w:pPr>
      <w:r w:rsidRPr="00DC2F14">
        <w:rPr>
          <w:rFonts w:ascii="Times New Roman" w:hAnsi="Times New Roman" w:cs="Times New Roman"/>
        </w:rPr>
        <w:t>The importance of governance becomes even clearer when comparing public and private organizations.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In the private sector, governance is often driven by efficiency, performance, and risk management, since poor governance can lead to flawed analytics and costly decisions.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>In public organizations, governance carries additional responsibilities related to transparency, ethical use, privacy, and long-term stewardship of data.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Research on institutional repositories shows that governance frameworks are essential for maintaining trust and ensuring data remains accessible and reusable over time, particularly when data serves a broad and diverse set of users (Lee &amp; </w:t>
      </w:r>
      <w:proofErr w:type="spellStart"/>
      <w:r w:rsidRPr="00DC2F14">
        <w:rPr>
          <w:rFonts w:ascii="Times New Roman" w:hAnsi="Times New Roman" w:cs="Times New Roman"/>
        </w:rPr>
        <w:t>Stvilia</w:t>
      </w:r>
      <w:proofErr w:type="spellEnd"/>
      <w:r w:rsidRPr="00DC2F14">
        <w:rPr>
          <w:rFonts w:ascii="Times New Roman" w:hAnsi="Times New Roman" w:cs="Times New Roman"/>
        </w:rPr>
        <w:t>, 2017).</w:t>
      </w:r>
    </w:p>
    <w:p w14:paraId="173C64C5" w14:textId="1674FED3" w:rsidR="00DC2F14" w:rsidRPr="00DC2F14" w:rsidRDefault="00DC2F14" w:rsidP="00DC2F14">
      <w:pPr>
        <w:spacing w:line="480" w:lineRule="auto"/>
        <w:ind w:firstLine="720"/>
        <w:rPr>
          <w:rFonts w:ascii="Times New Roman" w:hAnsi="Times New Roman" w:cs="Times New Roman"/>
        </w:rPr>
      </w:pPr>
      <w:r w:rsidRPr="00DC2F14">
        <w:rPr>
          <w:rFonts w:ascii="Times New Roman" w:hAnsi="Times New Roman" w:cs="Times New Roman"/>
        </w:rPr>
        <w:t>Overall, this week’s readings reinforced my view that data governance has evolved alongside how organizations use data.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 xml:space="preserve"> Once data becomes central to decision-making, governance must extend beyond IT and address the full data lifecycle. </w:t>
      </w:r>
      <w:r w:rsidR="00021BEF">
        <w:rPr>
          <w:rFonts w:ascii="Times New Roman" w:hAnsi="Times New Roman" w:cs="Times New Roman"/>
        </w:rPr>
        <w:t xml:space="preserve"> </w:t>
      </w:r>
      <w:r w:rsidRPr="00DC2F14">
        <w:rPr>
          <w:rFonts w:ascii="Times New Roman" w:hAnsi="Times New Roman" w:cs="Times New Roman"/>
        </w:rPr>
        <w:t>Without that structure, analytics initiatives may move quickly, but they are unlikely to be sustainable or trustworthy in the long run.</w:t>
      </w:r>
    </w:p>
    <w:p w14:paraId="4BC5F4E4" w14:textId="77777777" w:rsidR="004B01B6" w:rsidRPr="004B01B6" w:rsidRDefault="004B01B6" w:rsidP="004B01B6">
      <w:pPr>
        <w:spacing w:line="480" w:lineRule="auto"/>
        <w:rPr>
          <w:rFonts w:ascii="Times New Roman" w:hAnsi="Times New Roman" w:cs="Times New Roman"/>
        </w:rPr>
      </w:pPr>
      <w:r w:rsidRPr="004B01B6">
        <w:rPr>
          <w:rFonts w:ascii="Times New Roman" w:hAnsi="Times New Roman" w:cs="Times New Roman"/>
        </w:rPr>
        <w:br w:type="page"/>
      </w:r>
    </w:p>
    <w:p w14:paraId="74668560" w14:textId="5721EE75" w:rsidR="004B01B6" w:rsidRPr="004B01B6" w:rsidRDefault="004B01B6" w:rsidP="004B01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B01B6">
        <w:rPr>
          <w:rFonts w:ascii="Times New Roman" w:hAnsi="Times New Roman" w:cs="Times New Roman"/>
          <w:b/>
          <w:bCs/>
        </w:rPr>
        <w:lastRenderedPageBreak/>
        <w:t>References</w:t>
      </w:r>
    </w:p>
    <w:p w14:paraId="645A2E90" w14:textId="77777777" w:rsidR="00E96A2A" w:rsidRPr="00E96A2A" w:rsidRDefault="00E96A2A" w:rsidP="00E96A2A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E96A2A">
        <w:rPr>
          <w:rFonts w:ascii="Times New Roman" w:hAnsi="Times New Roman" w:cs="Times New Roman"/>
        </w:rPr>
        <w:t xml:space="preserve">Katakam, R., &amp; Rankin, S. (2025). </w:t>
      </w:r>
      <w:r w:rsidRPr="00E96A2A">
        <w:rPr>
          <w:rFonts w:ascii="Times New Roman" w:hAnsi="Times New Roman" w:cs="Times New Roman"/>
          <w:i/>
          <w:iCs/>
        </w:rPr>
        <w:t>Designing data governance for the future: Privacy, stewardship, and intelligent control</w:t>
      </w:r>
      <w:r w:rsidRPr="00E96A2A">
        <w:rPr>
          <w:rFonts w:ascii="Times New Roman" w:hAnsi="Times New Roman" w:cs="Times New Roman"/>
        </w:rPr>
        <w:t xml:space="preserve">. </w:t>
      </w:r>
      <w:r w:rsidRPr="00E96A2A">
        <w:rPr>
          <w:rFonts w:ascii="Times New Roman" w:hAnsi="Times New Roman" w:cs="Times New Roman"/>
          <w:b/>
          <w:bCs/>
        </w:rPr>
        <w:t>Journal of Computational Analysis &amp; Applications, 34</w:t>
      </w:r>
      <w:r w:rsidRPr="00E96A2A">
        <w:rPr>
          <w:rFonts w:ascii="Times New Roman" w:hAnsi="Times New Roman" w:cs="Times New Roman"/>
        </w:rPr>
        <w:t>(12), 590–601. https://doi.org/10.48047/jocaaa.2025.34.12.47</w:t>
      </w:r>
    </w:p>
    <w:p w14:paraId="003F9F6D" w14:textId="77777777" w:rsidR="004B01B6" w:rsidRDefault="004B01B6" w:rsidP="00EA274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4B01B6">
        <w:rPr>
          <w:rFonts w:ascii="Times New Roman" w:hAnsi="Times New Roman" w:cs="Times New Roman"/>
        </w:rPr>
        <w:t xml:space="preserve">Lee, D. J., &amp; </w:t>
      </w:r>
      <w:proofErr w:type="spellStart"/>
      <w:r w:rsidRPr="004B01B6">
        <w:rPr>
          <w:rFonts w:ascii="Times New Roman" w:hAnsi="Times New Roman" w:cs="Times New Roman"/>
        </w:rPr>
        <w:t>Stvilia</w:t>
      </w:r>
      <w:proofErr w:type="spellEnd"/>
      <w:r w:rsidRPr="004B01B6">
        <w:rPr>
          <w:rFonts w:ascii="Times New Roman" w:hAnsi="Times New Roman" w:cs="Times New Roman"/>
        </w:rPr>
        <w:t xml:space="preserve">, B. (2017). Practices of research data curation in institutional repositories: A qualitative view from repository staff. </w:t>
      </w:r>
      <w:r w:rsidRPr="004B01B6">
        <w:rPr>
          <w:rFonts w:ascii="Times New Roman" w:hAnsi="Times New Roman" w:cs="Times New Roman"/>
          <w:i/>
          <w:iCs/>
        </w:rPr>
        <w:t>PLOS ONE</w:t>
      </w:r>
      <w:r w:rsidRPr="004B01B6">
        <w:rPr>
          <w:rFonts w:ascii="Times New Roman" w:hAnsi="Times New Roman" w:cs="Times New Roman"/>
        </w:rPr>
        <w:t xml:space="preserve">, 12(3), e0173987. </w:t>
      </w:r>
      <w:hyperlink r:id="rId4" w:tgtFrame="_new" w:history="1">
        <w:r w:rsidRPr="004B01B6">
          <w:rPr>
            <w:rStyle w:val="Hyperlink"/>
            <w:rFonts w:ascii="Times New Roman" w:hAnsi="Times New Roman" w:cs="Times New Roman"/>
          </w:rPr>
          <w:t>https://doi.org/10.1371/journal.pone.0173987</w:t>
        </w:r>
      </w:hyperlink>
    </w:p>
    <w:p w14:paraId="7ABF36DA" w14:textId="08415F72" w:rsidR="00EC537F" w:rsidRPr="004B01B6" w:rsidRDefault="00EC537F" w:rsidP="00EA2748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EC537F">
        <w:rPr>
          <w:rFonts w:ascii="Times New Roman" w:hAnsi="Times New Roman" w:cs="Times New Roman"/>
        </w:rPr>
        <w:t>The importance of effective data sharing and reuse to funders and others supporting research. (2022). </w:t>
      </w:r>
      <w:r w:rsidRPr="00EC537F">
        <w:rPr>
          <w:rFonts w:ascii="Times New Roman" w:hAnsi="Times New Roman" w:cs="Times New Roman"/>
          <w:i/>
          <w:iCs/>
        </w:rPr>
        <w:t>Learned Publishing</w:t>
      </w:r>
      <w:r w:rsidRPr="00EC537F">
        <w:rPr>
          <w:rFonts w:ascii="Times New Roman" w:hAnsi="Times New Roman" w:cs="Times New Roman"/>
        </w:rPr>
        <w:t>, </w:t>
      </w:r>
      <w:r w:rsidRPr="00EC537F">
        <w:rPr>
          <w:rFonts w:ascii="Times New Roman" w:hAnsi="Times New Roman" w:cs="Times New Roman"/>
          <w:i/>
          <w:iCs/>
        </w:rPr>
        <w:t>35</w:t>
      </w:r>
      <w:r w:rsidRPr="00EC537F">
        <w:rPr>
          <w:rFonts w:ascii="Times New Roman" w:hAnsi="Times New Roman" w:cs="Times New Roman"/>
        </w:rPr>
        <w:t>(1), 71–74. https://doi.org/10.1002/leap.1443</w:t>
      </w:r>
    </w:p>
    <w:p w14:paraId="26135046" w14:textId="77777777" w:rsidR="009D1254" w:rsidRDefault="009D1254"/>
    <w:sectPr w:rsidR="009D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B6"/>
    <w:rsid w:val="00021BEF"/>
    <w:rsid w:val="00172536"/>
    <w:rsid w:val="00205876"/>
    <w:rsid w:val="0031358C"/>
    <w:rsid w:val="004B01B6"/>
    <w:rsid w:val="006609C9"/>
    <w:rsid w:val="00694A17"/>
    <w:rsid w:val="007E4989"/>
    <w:rsid w:val="008B6B65"/>
    <w:rsid w:val="009D1254"/>
    <w:rsid w:val="009F6940"/>
    <w:rsid w:val="00BE1951"/>
    <w:rsid w:val="00C5270B"/>
    <w:rsid w:val="00CF4BA9"/>
    <w:rsid w:val="00D67D52"/>
    <w:rsid w:val="00DC2F14"/>
    <w:rsid w:val="00E96A2A"/>
    <w:rsid w:val="00EA2748"/>
    <w:rsid w:val="00EC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588A"/>
  <w15:chartTrackingRefBased/>
  <w15:docId w15:val="{0FB550B3-A970-4863-9232-3934C1BD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371/journal.pone.01739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550</Words>
  <Characters>3384</Characters>
  <Application>Microsoft Office Word</Application>
  <DocSecurity>0</DocSecurity>
  <Lines>49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Maldonado</dc:creator>
  <cp:keywords/>
  <dc:description/>
  <cp:lastModifiedBy>Juan Maldonado</cp:lastModifiedBy>
  <cp:revision>13</cp:revision>
  <dcterms:created xsi:type="dcterms:W3CDTF">2025-12-25T18:22:00Z</dcterms:created>
  <dcterms:modified xsi:type="dcterms:W3CDTF">2026-01-13T22:39:00Z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e9cd8c8f-5826-4811-8186-5c99bdfcbb19</vt:lpwstr>
  </property>
</Properties>
</file>