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3: Build Non-Linear Models Part 1</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June 07,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3: Build Non-Linear Models Part 1</w:t>
      </w:r>
    </w:p>
    <w:p>
      <w:pPr>
        <w:spacing w:line="480" w:lineRule="auto"/>
        <w:jc w:val="center"/>
      </w:pPr>
      <w:r>
        <w:rPr>
          <w:b/>
          <w:i w:val="0"/>
        </w:rPr>
        <w:t>Executive Summary</w:t>
      </w:r>
    </w:p>
    <w:p>
      <w:pPr>
        <w:spacing w:line="480" w:lineRule="auto" w:after="0"/>
        <w:ind w:firstLine="720"/>
      </w:pPr>
      <w:r>
        <w:rPr>
          <w:b w:val="0"/>
          <w:i w:val="0"/>
        </w:rPr>
        <w:t>This assignment treated model selection as a balance between predictive accuracy and stability.  Best subset selection has the lowest training RSS for a fixed model size because it searches the full model space, but that does not guarantee the lowest test RSS.  The simulated polynomial exercise showed the same point in practice: forward selection and lasso can recover the true polynomial signal, but they can also retain extra terms when the sample is noisy.</w:t>
      </w:r>
    </w:p>
    <w:p>
      <w:pPr>
        <w:spacing w:line="480" w:lineRule="auto"/>
        <w:jc w:val="center"/>
      </w:pPr>
      <w:r>
        <w:rPr>
          <w:b/>
          <w:i w:val="0"/>
        </w:rPr>
        <w:t>Regularization and PCR</w:t>
      </w:r>
    </w:p>
    <w:p>
      <w:pPr>
        <w:spacing w:line="480" w:lineRule="auto" w:after="0"/>
        <w:ind w:firstLine="720"/>
      </w:pPr>
      <w:r>
        <w:rPr>
          <w:b w:val="0"/>
          <w:i w:val="0"/>
        </w:rPr>
        <w:t>For the Abalone competition, elastic net regression gave a stronger and more interpretable regularized baseline than the PCR ridge model.  Elastic net keeps the original predictors visible while shrinking unstable coefficients, so it addresses collinearity without hiding all interpretation.  PCR reduced the predictor space and retained most of the variance, but interpretation moved from original measurements to components.  This tradeoff is expected because PCA is designed to summarize variance rather than directly optimize target prediction (Jolliffe, 2002).</w:t>
      </w:r>
    </w:p>
    <w:p>
      <w:pPr>
        <w:spacing w:line="480" w:lineRule="auto"/>
        <w:jc w:val="center"/>
      </w:pPr>
      <w:r>
        <w:rPr>
          <w:b/>
          <w:i w:val="0"/>
        </w:rPr>
        <w:t>Assumptions and Evidence</w:t>
      </w:r>
    </w:p>
    <w:p>
      <w:pPr>
        <w:spacing w:line="480" w:lineRule="auto" w:after="0"/>
        <w:ind w:firstLine="720"/>
      </w:pPr>
      <w:r>
        <w:rPr>
          <w:b w:val="0"/>
          <w:i w:val="0"/>
        </w:rPr>
        <w:t>The assumption investigation focused on multicollinearity, residual structure, validation performance, and the competition metric.  The Abalone measures are physically related, so shrinkage is appropriate for the regularized model, while PCR provides a dimensionality-reduction comparison.  The completed Kaggle submissions documented elastic net with public/private scores of 0.16444/0.16373 and PCR ridge with public/private scores of 0.18220/0.18228.  The public repository is `https://github.com/maldo81/dds-8555-predictive-analysis`, and the notebook path is `Week 3/Assignment 3/MaldonadoJDDS8555-3.ipynb`.</w:t>
      </w:r>
    </w:p>
    <w:p>
      <w:pPr>
        <w:spacing w:line="480" w:lineRule="auto" w:after="0"/>
        <w:ind w:firstLine="720"/>
      </w:pPr>
      <w:r>
        <w:rPr>
          <w:b w:val="0"/>
          <w:i w:val="0"/>
        </w:rPr>
        <w:t>GitHub/code note: The Python notebook is the code artifact for this assignment and is ready to post with the submission.  The assignment prompt gives one page plus Python notebook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Hastie, T., Tibshirani, R., &amp; Friedman, J. (2009).  The elements of statistical learning: Data mining, inference, and prediction (2nd ed.).  Springer. https://doi.org/10.1007/978-0-387-84858-7</w:t>
      </w:r>
    </w:p>
    <w:p>
      <w:pPr>
        <w:spacing w:line="480" w:lineRule="auto"/>
        <w:ind w:left="720" w:hanging="720"/>
      </w:pPr>
      <w:r>
        <w:t>Jolliffe, I.  T. (2002).  Principal component analysis (2nd ed.).  Springer. https://doi.org/10.1007/b98835</w:t>
      </w:r>
    </w:p>
    <w:p>
      <w:pPr>
        <w:spacing w:line="480" w:lineRule="auto"/>
        <w:ind w:left="720" w:hanging="720"/>
      </w:pPr>
      <w:r>
        <w:t>Nash, W.  J., Sellers, T.  L., Talbot, S.  R., Cawthorn, A.  J., &amp; Ford, W.  B. (1994).  The population biology of abalone (Haliotis species) in Tasmania.  I.  Blacklip abalone (H. rubra) from the north coast and islands of Bass Strait (Technical Report No.  48).  Sea Fisheries Division.</w:t>
      </w:r>
    </w:p>
    <w:p>
      <w:pPr>
        <w:spacing w:line="480" w:lineRule="auto"/>
        <w:ind w:left="720" w:hanging="720"/>
      </w:pPr>
      <w:r>
        <w:t>Tibshirani, R. (1996).  Regression shrinkage and selection via the lasso.  Journal of the Royal Statistical Society: Series B, 58(1), 267-288. https://doi.org/10.1111/j.2517-6161.1996.tb02080.x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