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
      <w:pPr>
        <w:spacing w:line="480" w:lineRule="auto" w:after="0"/>
        <w:jc w:val="center"/>
      </w:pPr>
      <w:r>
        <w:rPr>
          <w:b w:val="0"/>
          <w:i w:val="0"/>
        </w:rPr>
        <w:t>Assignment 5: Build and Evaluate Classification Models</w:t>
      </w:r>
    </w:p>
    <w:p>
      <w:pPr>
        <w:spacing w:line="480" w:lineRule="auto" w:after="0"/>
        <w:jc w:val="center"/>
      </w:pPr>
      <w:r>
        <w:rPr>
          <w:b w:val="0"/>
          <w:i w:val="0"/>
        </w:rPr>
        <w:t>Juan Maldonado Franco</w:t>
      </w:r>
    </w:p>
    <w:p>
      <w:pPr>
        <w:spacing w:line="480" w:lineRule="auto" w:after="0"/>
        <w:jc w:val="center"/>
      </w:pPr>
      <w:r>
        <w:rPr>
          <w:b w:val="0"/>
          <w:i w:val="0"/>
        </w:rPr>
        <w:t>Department of Technology, National University</w:t>
      </w:r>
    </w:p>
    <w:p>
      <w:pPr>
        <w:spacing w:line="480" w:lineRule="auto" w:after="0"/>
        <w:jc w:val="center"/>
      </w:pPr>
      <w:r>
        <w:rPr>
          <w:b w:val="0"/>
          <w:i w:val="0"/>
        </w:rPr>
        <w:t>DDS-8555 Predictive Analysis</w:t>
      </w:r>
    </w:p>
    <w:p>
      <w:pPr>
        <w:spacing w:line="480" w:lineRule="auto" w:after="0"/>
        <w:jc w:val="center"/>
      </w:pPr>
      <w:r>
        <w:rPr>
          <w:b w:val="0"/>
          <w:i w:val="0"/>
        </w:rPr>
        <w:t>Mohamed Nabeel</w:t>
      </w:r>
    </w:p>
    <w:p>
      <w:pPr>
        <w:spacing w:line="480" w:lineRule="auto" w:after="0"/>
        <w:jc w:val="center"/>
      </w:pPr>
      <w:r>
        <w:rPr>
          <w:b w:val="0"/>
          <w:i w:val="0"/>
        </w:rPr>
        <w:t>June 11, 2026</w:t>
      </w:r>
    </w:p>
    <w:p>
      <w:pPr>
        <w:sectPr>
          <w:headerReference w:type="default" r:id="rId9"/>
          <w:pgSz w:w="12240" w:h="15840"/>
          <w:pgMar w:top="1440" w:right="1440" w:bottom="1440" w:left="1440" w:header="720" w:footer="720" w:gutter="0"/>
          <w:cols w:space="720"/>
          <w:docGrid w:linePitch="360"/>
        </w:sectPr>
      </w:pPr>
    </w:p>
    <w:p>
      <w:pPr>
        <w:spacing w:line="480" w:lineRule="auto"/>
        <w:jc w:val="center"/>
      </w:pPr>
      <w:r>
        <w:rPr>
          <w:b/>
          <w:i w:val="0"/>
        </w:rPr>
        <w:t>Assignment 5: Build and Evaluate Classification Models</w:t>
      </w:r>
    </w:p>
    <w:p>
      <w:pPr>
        <w:spacing w:line="480" w:lineRule="auto"/>
        <w:jc w:val="center"/>
      </w:pPr>
      <w:r>
        <w:rPr>
          <w:b/>
          <w:i w:val="0"/>
        </w:rPr>
        <w:t>Executive Summary</w:t>
      </w:r>
    </w:p>
    <w:p>
      <w:pPr>
        <w:spacing w:line="480" w:lineRule="auto" w:after="0"/>
        <w:ind w:firstLine="720"/>
      </w:pPr>
      <w:r>
        <w:rPr>
          <w:b w:val="0"/>
          <w:i w:val="0"/>
        </w:rPr>
        <w:t>This assignment compared classification methods with different assumptions.  The Weekly exercise was answered part by part: numerical summaries and plots were reviewed, an all-predictor logistic regression was fit, the all-years confusion matrix was interpreted, and then logistic regression, LDA, QDA, KNN, and naive Bayes were compared on the 2009-2010 test period using Lag2.  The exercise showed that a model can produce acceptable overall accuracy while still making asymmetric classification mistakes, so confusion matrices and balanced accuracy are more informative than accuracy alone.</w:t>
      </w:r>
    </w:p>
    <w:p>
      <w:pPr>
        <w:spacing w:line="480" w:lineRule="auto"/>
        <w:jc w:val="center"/>
      </w:pPr>
      <w:r>
        <w:rPr>
          <w:b/>
          <w:i w:val="0"/>
        </w:rPr>
        <w:t>Weekly Classification</w:t>
      </w:r>
    </w:p>
    <w:p>
      <w:pPr>
        <w:spacing w:line="480" w:lineRule="auto" w:after="0"/>
        <w:ind w:firstLine="720"/>
      </w:pPr>
      <w:r>
        <w:rPr>
          <w:b w:val="0"/>
          <w:i w:val="0"/>
        </w:rPr>
        <w:t>The all-predictor logistic regression identified Lag2 as the clearest predictor, while the other lag variables and Volume were not clearly significant.  That finding supports the later Lag2-only comparisons in the textbook exercise.  The notebook reports test accuracy, balanced accuracy, test error, and confusion matrices for each required classifier, then adds the requested experiment with alternative logistic predictor sets and several KNN values.  The best method is identified from the displayed test-set comparison rather than asserted without evidence.</w:t>
      </w:r>
    </w:p>
    <w:p>
      <w:pPr>
        <w:spacing w:line="480" w:lineRule="auto"/>
        <w:jc w:val="center"/>
      </w:pPr>
      <w:r>
        <w:rPr>
          <w:b/>
          <w:i w:val="0"/>
        </w:rPr>
        <w:t>Kaggle Model 1: Multinomial Logistic Regression</w:t>
      </w:r>
    </w:p>
    <w:p>
      <w:pPr>
        <w:spacing w:line="480" w:lineRule="auto" w:after="0"/>
        <w:ind w:firstLine="720"/>
      </w:pPr>
      <w:r>
        <w:rPr>
          <w:b w:val="0"/>
          <w:i w:val="0"/>
        </w:rPr>
        <w:t>The first Obesity submission used multinomial logistic regression.  This is the regularized linear baseline, and its fresh public/private Kaggle scores were 0.86632/0.86596.  The notebook now reports a C-comparison table, so the regularization strength is visible rather than only implied by the software default.</w:t>
      </w:r>
    </w:p>
    <w:p>
      <w:pPr>
        <w:spacing w:line="480" w:lineRule="auto"/>
        <w:jc w:val="center"/>
      </w:pPr>
      <w:r>
        <w:rPr>
          <w:b/>
          <w:i w:val="0"/>
        </w:rPr>
        <w:t>Kaggle Model 2: LDA</w:t>
      </w:r>
    </w:p>
    <w:p>
      <w:pPr>
        <w:spacing w:line="480" w:lineRule="auto" w:after="0"/>
        <w:ind w:firstLine="720"/>
      </w:pPr>
      <w:r>
        <w:rPr>
          <w:b w:val="0"/>
          <w:i w:val="0"/>
        </w:rPr>
        <w:t>The second Obesity submission used LDA.  Its public/private Kaggle scores were 0.82153/0.82108.  LDA is more assumption-bound than multinomial logistic regression because it relies on class-conditional normality and shared covariance structure.  It remains useful because it gives a generative linear comparison to the discriminative models.</w:t>
      </w:r>
    </w:p>
    <w:p>
      <w:pPr>
        <w:spacing w:line="480" w:lineRule="auto"/>
        <w:jc w:val="center"/>
      </w:pPr>
      <w:r>
        <w:rPr>
          <w:b/>
          <w:i w:val="0"/>
        </w:rPr>
        <w:t>Kaggle Model 3: Naive Bayes</w:t>
      </w:r>
    </w:p>
    <w:p>
      <w:pPr>
        <w:spacing w:line="480" w:lineRule="auto" w:after="0"/>
        <w:ind w:firstLine="720"/>
      </w:pPr>
      <w:r>
        <w:rPr>
          <w:b w:val="0"/>
          <w:i w:val="0"/>
        </w:rPr>
        <w:t>The third Obesity submission used naive Bayes, with public/private Kaggle scores of 0.58995/0.58544.  This was the weakest model, which is not surprising because the conditional-independence assumption is difficult to defend for health-behavior and body-measurement predictors.  The result is still informative because it shows that the feature relationships matter for this classification task.</w:t>
      </w:r>
    </w:p>
    <w:p>
      <w:pPr>
        <w:spacing w:line="480" w:lineRule="auto"/>
        <w:jc w:val="center"/>
      </w:pPr>
      <w:r>
        <w:rPr>
          <w:b/>
          <w:i w:val="0"/>
        </w:rPr>
        <w:t>Kaggle Model 4: RBF SVM</w:t>
      </w:r>
    </w:p>
    <w:p>
      <w:pPr>
        <w:spacing w:line="480" w:lineRule="auto" w:after="0"/>
        <w:ind w:firstLine="720"/>
      </w:pPr>
      <w:r>
        <w:rPr>
          <w:b w:val="0"/>
          <w:i w:val="0"/>
        </w:rPr>
        <w:t>The fourth Obesity submission used an RBF-kernel SVM, with fresh public/private Kaggle scores of 0.87933/0.87879.  This resolves the earlier mismatch between the notebook validation result and the leaderboard because the displayed kernel SVM code is the code that generated the submitted CSV.  The SVM result was strongest because margin-based classifiers can work well when a transformed feature space separates classes more cleanly than the raw variables do (Cortes &amp; Vapnik, 1995).</w:t>
      </w:r>
    </w:p>
    <w:p>
      <w:pPr>
        <w:spacing w:line="480" w:lineRule="auto"/>
        <w:jc w:val="center"/>
      </w:pPr>
      <w:r>
        <w:rPr>
          <w:b/>
          <w:i w:val="0"/>
        </w:rPr>
        <w:t>Assumptions and Evidence</w:t>
      </w:r>
    </w:p>
    <w:p>
      <w:pPr>
        <w:spacing w:line="480" w:lineRule="auto" w:after="0"/>
        <w:ind w:firstLine="720"/>
      </w:pPr>
      <w:r>
        <w:rPr>
          <w:b w:val="0"/>
          <w:i w:val="0"/>
        </w:rPr>
        <w:t>The notebook documents class balance, validation accuracy, balanced accuracy, model-specific assumptions, class-conditional numeric skewness, within-class numeric correlations, and the confusion matrix for the best validation model.  The Kaggle section maps each required classifier to its generated submission file and current evidence row.  Because obesity classification is tied to population-level body-mass trends, the predictions should be interpreted as competition labels rather than clinical diagnoses (NCD Risk Factor Collaboration, 2016).  The public repository is `https://github.com/maldo81/dds-8555-predictive-analysis`, and the notebook path is `Week 5/Assignment 5/MaldonadoJDDS8555-5.ipynb`.</w:t>
      </w:r>
    </w:p>
    <w:p>
      <w:pPr>
        <w:spacing w:line="480" w:lineRule="auto" w:after="0"/>
        <w:ind w:firstLine="720"/>
      </w:pPr>
      <w:r>
        <w:rPr>
          <w:b w:val="0"/>
          <w:i w:val="0"/>
        </w:rPr>
        <w:t>GitHub/code note: The Python notebook is the code artifact for this assignment and is posted with the public submission repository.  The assignment prompt gives one page plus Python notebook as the length guidance, and the notebook carries the detailed output, diagnostics, and submission evidence.</w:t>
      </w:r>
    </w:p>
    <w:p>
      <w:pPr>
        <w:sectPr>
          <w:pgSz w:w="12240" w:h="15840"/>
          <w:pgMar w:top="1440" w:right="1440" w:bottom="1440" w:left="1440" w:header="720" w:footer="720" w:gutter="0"/>
          <w:cols w:space="720"/>
          <w:docGrid w:linePitch="360"/>
        </w:sectPr>
      </w:pPr>
    </w:p>
    <w:p>
      <w:pPr>
        <w:spacing w:line="480" w:lineRule="auto"/>
        <w:jc w:val="center"/>
      </w:pPr>
      <w:r>
        <w:rPr>
          <w:b/>
          <w:i w:val="0"/>
        </w:rPr>
        <w:t>References</w:t>
      </w:r>
    </w:p>
    <w:p>
      <w:pPr>
        <w:spacing w:line="480" w:lineRule="auto"/>
        <w:ind w:left="720" w:hanging="720"/>
      </w:pPr>
      <w:r>
        <w:t>Cortes, C., &amp; Vapnik, V. (1995).  Support-vector networks.  Machine Learning, 20, 273-297. https://doi.org/10.1007/BF00994018</w:t>
      </w:r>
    </w:p>
    <w:p>
      <w:pPr>
        <w:spacing w:line="480" w:lineRule="auto"/>
        <w:ind w:left="720" w:hanging="720"/>
      </w:pPr>
      <w:r>
        <w:t>James, G., Witten, D., Hastie, T., Tibshirani, R., &amp; Taylor, J. (2023).  An introduction to statistical learning: With applications in Python.  Springer. https://doi.org/10.1007/978-3-031-38747-0</w:t>
      </w:r>
    </w:p>
    <w:p>
      <w:pPr>
        <w:spacing w:line="480" w:lineRule="auto"/>
        <w:ind w:left="720" w:hanging="720"/>
      </w:pPr>
      <w:r>
        <w:t>NCD Risk Factor Collaboration. (2016).  Trends in adult body-mass index in 200 countries from 1975 to 2014: A pooled analysis of 1698 population-based measurement studies with 19.2 million participants.  The Lancet, 387(10026), 1377-1396. https://doi.org/10.1016/S0140-6736(16)30054-X</w:t>
      </w:r>
    </w:p>
    <w:p>
      <w:pPr>
        <w:spacing w:line="480" w:lineRule="auto"/>
        <w:ind w:left="720" w:hanging="720"/>
      </w:pPr>
      <w:r>
        <w:t>Sokolova, M., &amp; Lapalme, G. (2009).  A systematic analysis of performance measures for classification tasks.  Information Processing &amp; Management, 45(4), 427-437. https://doi.org/10.1016/j.ipm.2009.03.002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