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8: Build and Evaluate Time Series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8: Build and Evaluate Time Series Models</w:t>
      </w:r>
    </w:p>
    <w:p>
      <w:pPr>
        <w:spacing w:line="480" w:lineRule="auto"/>
        <w:jc w:val="center"/>
      </w:pPr>
      <w:r>
        <w:rPr>
          <w:b/>
          <w:i w:val="0"/>
        </w:rPr>
        <w:t>Executive Summary</w:t>
      </w:r>
    </w:p>
    <w:p>
      <w:pPr>
        <w:spacing w:line="480" w:lineRule="auto" w:after="0"/>
        <w:ind w:firstLine="720"/>
      </w:pPr>
      <w:r>
        <w:rPr>
          <w:b w:val="0"/>
          <w:i w:val="0"/>
        </w:rPr>
        <w:t>This signature assignment compared seven submitted models across three Kaggle competitions.  The Store Sales section submitted ETS and ARIMA forecasts; ETS was stronger on both the 56-day local holdout and the public leaderboard, with public scores of 0.62223 for ETS and 0.64770 for ARIMA.  The House Prices section submitted ridge regression and gradient boosting; gradient boosting had the stronger public score, 0.12930 compared with 0.13303 for ridge.  The San Francisco Crime section submitted a decision tree, a random forest, and a linear support vector machine; random forest was the strongest classifier with a public/private log loss of 2.48088.</w:t>
      </w:r>
    </w:p>
    <w:p>
      <w:pPr>
        <w:spacing w:line="480" w:lineRule="auto"/>
        <w:jc w:val="center"/>
      </w:pPr>
      <w:r>
        <w:rPr>
          <w:b/>
          <w:i w:val="0"/>
        </w:rPr>
        <w:t>Store Sales Findings</w:t>
      </w:r>
    </w:p>
    <w:p>
      <w:pPr>
        <w:spacing w:line="480" w:lineRule="auto" w:after="0"/>
        <w:ind w:firstLine="720"/>
      </w:pPr>
      <w:r>
        <w:rPr>
          <w:b w:val="0"/>
          <w:i w:val="0"/>
        </w:rPr>
        <w:t>The forecasting workflow preserved time order and used the final 56 days of daily sales as a local validation period.  ETS had lower local sMAPE than ARIMA, 0.0704 versus 0.0751, which matched the leaderboard direction.  The residual plots still showed bursts of error, so the model should be read as a defensible first-pass forecast rather than a final retail forecasting system.  A stronger production model would add holiday, oil, promotion, and store-family effects more explicitly (Hyndman &amp; Athanasopoulos, 2021).</w:t>
      </w:r>
    </w:p>
    <w:p>
      <w:pPr>
        <w:spacing w:line="480" w:lineRule="auto"/>
        <w:jc w:val="center"/>
      </w:pPr>
      <w:r>
        <w:rPr>
          <w:b/>
          <w:i w:val="0"/>
        </w:rPr>
        <w:t>House Prices Findings</w:t>
      </w:r>
    </w:p>
    <w:p>
      <w:pPr>
        <w:spacing w:line="480" w:lineRule="auto" w:after="0"/>
        <w:ind w:firstLine="720"/>
      </w:pPr>
      <w:r>
        <w:rPr>
          <w:b w:val="0"/>
          <w:i w:val="0"/>
        </w:rPr>
        <w:t>The housing workflow used dichotomous predictors, transformed variables, an interaction, a polynomial term, regularized regression, feature subset checks, and a dimension-reduction comparison.  The log transformation reduced target skew, and the engineered predictors made the model specification more consistent with the Ames housing setting (De Cock, 2011).  Ridge was slightly stronger on the simple local validation split, but gradient boosting was stronger on Kaggle.  That difference is useful because it shows why the external leaderboard is important; one local split does not fully represent the test distribution.</w:t>
      </w:r>
    </w:p>
    <w:p>
      <w:pPr>
        <w:spacing w:line="480" w:lineRule="auto"/>
        <w:jc w:val="center"/>
      </w:pPr>
      <w:r>
        <w:rPr>
          <w:b/>
          <w:i w:val="0"/>
        </w:rPr>
        <w:t>San Francisco Crime Findings</w:t>
      </w:r>
    </w:p>
    <w:p>
      <w:pPr>
        <w:spacing w:line="480" w:lineRule="auto" w:after="0"/>
        <w:ind w:firstLine="720"/>
      </w:pPr>
      <w:r>
        <w:rPr>
          <w:b w:val="0"/>
          <w:i w:val="0"/>
        </w:rPr>
        <w:t>The San Francisco Crime workflow treated the task as imbalanced multiclass classification.  Local sampled validation reported both accuracy and macro F1 because common categories dominate ordinary accuracy.  The Kaggle results favored random forest over the single decision tree and linear SVM.  This result is consistent with random forests averaging many trees and producing smoother probability estimates, while the linear SVM has limited ability to model the nonlinear spatial-temporal structure of crime reports (Breiman, 2001; Cortes &amp; Vapnik, 1995; Sokolova &amp; Lapalme, 2009).</w:t>
      </w:r>
    </w:p>
    <w:p>
      <w:pPr>
        <w:spacing w:line="480" w:lineRule="auto"/>
        <w:jc w:val="center"/>
      </w:pPr>
      <w:r>
        <w:rPr>
          <w:b/>
          <w:i w:val="0"/>
        </w:rPr>
        <w:t>Assumptions and Evidence</w:t>
      </w:r>
    </w:p>
    <w:p>
      <w:pPr>
        <w:spacing w:line="480" w:lineRule="auto" w:after="0"/>
        <w:ind w:firstLine="720"/>
      </w:pPr>
      <w:r>
        <w:rPr>
          <w:b w:val="0"/>
          <w:i w:val="0"/>
        </w:rPr>
        <w:t>The assumption investigation was matched to the model family.  Store Sales checked time order, validation forecasting behavior, and residual patterns.  House Prices checked missingness, target skew, engineered predictors, subset sensitivity, and dimension reduction.  San Francisco Crime checked class imbalance, sampled validation performance, and the gap between accuracy and macro F1.  All seven Kaggle submissions are complete, and the notebook verifies the local submission files and status rows.</w:t>
      </w:r>
    </w:p>
    <w:p>
      <w:pPr>
        <w:spacing w:line="480" w:lineRule="auto"/>
        <w:jc w:val="center"/>
      </w:pPr>
      <w:r>
        <w:rPr>
          <w:b/>
          <w:i w:val="0"/>
        </w:rPr>
        <w:t>Presentation and Repository Evidence</w:t>
      </w:r>
    </w:p>
    <w:p>
      <w:pPr>
        <w:spacing w:line="480" w:lineRule="auto" w:after="0"/>
        <w:ind w:firstLine="720"/>
      </w:pPr>
      <w:r>
        <w:rPr>
          <w:b w:val="0"/>
          <w:i w:val="0"/>
        </w:rPr>
        <w:t>The assignment also requires a 9-11 slide PowerPoint and a 5-10 minute video.  The PowerPoint is a 10-slide deck, and the video script follows the same structure so the oral presentation can stay within the required time window.  The public repository is `https://github.com/maldo81/dds-8555-predictive-analysis`, and the notebook path is `Week 8/Assignment 8/MaldonadoJDDS8555-8.ipynb`.</w:t>
      </w:r>
    </w:p>
    <w:p>
      <w:pPr>
        <w:spacing w:line="480" w:lineRule="auto" w:after="0"/>
        <w:ind w:firstLine="720"/>
      </w:pPr>
      <w:r>
        <w:rPr>
          <w:b w:val="0"/>
          <w:i w:val="0"/>
        </w:rPr>
        <w:t>GitHub/code note: The Python notebook is the code artifact for this assignment and is posted with the public submission repository.  The assignment prompt gives three pages plus Python notebook, video, and PowerPoint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(2001).  Random forests.  Machine Learning, 45, 5-32. https://doi.org/10.1023/A:1010933404324</w:t>
      </w:r>
    </w:p>
    <w:p>
      <w:pPr>
        <w:spacing w:line="480" w:lineRule="auto"/>
        <w:ind w:left="720" w:hanging="720"/>
      </w:pPr>
      <w:r>
        <w:t>Cortes, C., &amp; Vapnik, V. (1995).  Support-vector networks.  Machine Learning, 20, 273-297. https://doi.org/10.1007/BF00994018</w:t>
      </w:r>
    </w:p>
    <w:p>
      <w:pPr>
        <w:spacing w:line="480" w:lineRule="auto"/>
        <w:ind w:left="720" w:hanging="720"/>
      </w:pPr>
      <w:r>
        <w:t>De Cock, D. (2011).  Ames, Iowa: Alternative to the Boston housing data as an end of semester regression project.  Journal of Statistics Education, 19(3). https://doi.org/10.1080/10691898.2011.11889627</w:t>
      </w:r>
    </w:p>
    <w:p>
      <w:pPr>
        <w:spacing w:line="480" w:lineRule="auto"/>
        <w:ind w:left="720" w:hanging="720"/>
      </w:pPr>
      <w:r>
        <w:t>Hyndman, R.  J., &amp; Athanasopoulos, G. (2021).  Forecasting: Principles and Practice (3rd ed.).  OTexts. https://otexts.com/fpp3/</w:t>
      </w:r>
    </w:p>
    <w:p>
      <w:pPr>
        <w:spacing w:line="480" w:lineRule="auto"/>
        <w:ind w:left="720" w:hanging="720"/>
      </w:pPr>
      <w:r>
        <w:t>Sokolova, M., &amp; Lapalme, G. (2009).  A systematic analysis of performance measures for classification tasks.  Information Processing &amp; Management, 45(4), 427-437. https://doi.org/10.1016/j.ipm.2009.03.002</w:t>
      </w:r>
    </w:p>
    <w:p>
      <w:pPr>
        <w:spacing w:line="480" w:lineRule="auto"/>
        <w:ind w:left="720" w:hanging="720"/>
      </w:pPr>
      <w:r>
        <w:t>Tibshirani, R. (1996).  Regression shrinkage and selection via the lasso.  Journal of the Royal Statistical Society: Series B, 58(1), 267-288. https://doi.org/10.1111/j.2517-6161.1996.tb02080.x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