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Pr>
        <w:spacing w:line="480" w:lineRule="auto" w:after="0"/>
        <w:jc w:val="center"/>
      </w:pPr>
      <w:r>
        <w:rPr>
          <w:b w:val="0"/>
          <w:i w:val="0"/>
        </w:rPr>
        <w:t>Assignment 8: Build and Evaluate Time Series Models</w:t>
      </w:r>
    </w:p>
    <w:p>
      <w:pPr>
        <w:spacing w:line="480" w:lineRule="auto" w:after="0"/>
        <w:jc w:val="center"/>
      </w:pPr>
      <w:r>
        <w:rPr>
          <w:b w:val="0"/>
          <w:i w:val="0"/>
        </w:rPr>
        <w:t>Juan Maldonado Franco</w:t>
      </w:r>
    </w:p>
    <w:p>
      <w:pPr>
        <w:spacing w:line="480" w:lineRule="auto" w:after="0"/>
        <w:jc w:val="center"/>
      </w:pPr>
      <w:r>
        <w:rPr>
          <w:b w:val="0"/>
          <w:i w:val="0"/>
        </w:rPr>
        <w:t>Department of Technology, National University</w:t>
      </w:r>
    </w:p>
    <w:p>
      <w:pPr>
        <w:spacing w:line="480" w:lineRule="auto" w:after="0"/>
        <w:jc w:val="center"/>
      </w:pPr>
      <w:r>
        <w:rPr>
          <w:b w:val="0"/>
          <w:i w:val="0"/>
        </w:rPr>
        <w:t>DDS-8555 Predictive Analysis</w:t>
      </w:r>
    </w:p>
    <w:p>
      <w:pPr>
        <w:spacing w:line="480" w:lineRule="auto" w:after="0"/>
        <w:jc w:val="center"/>
      </w:pPr>
      <w:r>
        <w:rPr>
          <w:b w:val="0"/>
          <w:i w:val="0"/>
        </w:rPr>
        <w:t>Mohamed Nabeel</w:t>
      </w:r>
    </w:p>
    <w:p>
      <w:pPr>
        <w:spacing w:line="480" w:lineRule="auto" w:after="0"/>
        <w:jc w:val="center"/>
      </w:pPr>
      <w:r>
        <w:rPr>
          <w:b w:val="0"/>
          <w:i w:val="0"/>
        </w:rPr>
        <w:t>June 11, 2026</w:t>
      </w:r>
    </w:p>
    <w:p>
      <w:pPr>
        <w:sectPr>
          <w:headerReference w:type="default" r:id="rId9"/>
          <w:pgSz w:w="12240" w:h="15840"/>
          <w:pgMar w:top="1440" w:right="1440" w:bottom="1440" w:left="1440" w:header="720" w:footer="720" w:gutter="0"/>
          <w:cols w:space="720"/>
          <w:docGrid w:linePitch="360"/>
        </w:sectPr>
      </w:pPr>
    </w:p>
    <w:p>
      <w:pPr>
        <w:spacing w:line="480" w:lineRule="auto"/>
        <w:jc w:val="center"/>
      </w:pPr>
      <w:r>
        <w:rPr>
          <w:b/>
          <w:i w:val="0"/>
        </w:rPr>
        <w:t>Assignment 8: Build and Evaluate Time Series Models</w:t>
      </w:r>
    </w:p>
    <w:p>
      <w:pPr>
        <w:spacing w:line="480" w:lineRule="auto"/>
        <w:jc w:val="center"/>
      </w:pPr>
      <w:r>
        <w:rPr>
          <w:b/>
          <w:i w:val="0"/>
        </w:rPr>
        <w:t>Executive Summary</w:t>
      </w:r>
    </w:p>
    <w:p>
      <w:pPr>
        <w:spacing w:line="480" w:lineRule="auto" w:after="0"/>
        <w:ind w:firstLine="720"/>
      </w:pPr>
      <w:r>
        <w:rPr>
          <w:b w:val="0"/>
          <w:i w:val="0"/>
        </w:rPr>
        <w:t>This signature assignment compared seven submitted models across three Kaggle competitions.  The Store Sales section submitted ETS and ARIMA forecasts; ETS was stronger on both the 56-day local holdout and the public leaderboard, with public scores of 0.62223 for ETS and 0.64770 for ARIMA.  The House Prices section submitted ridge regression and gradient boosting; gradient boosting had the stronger public score, 0.12930 compared with 0.13303 for ridge.  The San Francisco Crime section submitted a decision tree, a random forest, and a linear support vector machine; random forest was the strongest classifier with a public/private log loss of 2.48088.  The main analytical decision was to match the modeling and diagnostic strategy to the problem type rather than applying the same validation pattern to all three competitions.</w:t>
      </w:r>
    </w:p>
    <w:p>
      <w:pPr>
        <w:spacing w:line="480" w:lineRule="auto"/>
        <w:jc w:val="center"/>
      </w:pPr>
      <w:r>
        <w:rPr>
          <w:b/>
          <w:i w:val="0"/>
        </w:rPr>
        <w:t>Store Sales Findings</w:t>
      </w:r>
    </w:p>
    <w:p>
      <w:pPr>
        <w:spacing w:line="480" w:lineRule="auto" w:after="0"/>
        <w:ind w:firstLine="720"/>
      </w:pPr>
      <w:r>
        <w:rPr>
          <w:b w:val="0"/>
          <w:i w:val="0"/>
        </w:rPr>
        <w:t>The forecasting workflow preserved time order and used the final 56 days of daily sales as a local validation period.  ETS had lower local sMAPE than ARIMA, 0.0704 versus 0.0751, which matched the leaderboard direction.  The submitted Kaggle files were produced at the family-forecast level and allocated back to store-family rows using recent sales shares, so the notebook now verifies the required row counts and documents the allocation recipe rather than hiding that step.  The residual plots still showed bursts of error, and the Ljung-Box checks showed remaining autocorrelation at weekly lags.  That means the model should be read as a defensible first-pass forecast rather than a final retail forecasting system.  A stronger production model would add holiday, oil, promotion, and store-family effects more explicitly (Hyndman &amp; Athanasopoulos, 2021).</w:t>
      </w:r>
    </w:p>
    <w:p>
      <w:pPr>
        <w:spacing w:line="480" w:lineRule="auto"/>
        <w:jc w:val="center"/>
      </w:pPr>
      <w:r>
        <w:rPr>
          <w:b/>
          <w:i w:val="0"/>
        </w:rPr>
        <w:t>House Prices Findings</w:t>
      </w:r>
    </w:p>
    <w:p>
      <w:pPr>
        <w:spacing w:line="480" w:lineRule="auto" w:after="0"/>
        <w:ind w:firstLine="720"/>
      </w:pPr>
      <w:r>
        <w:rPr>
          <w:b w:val="0"/>
          <w:i w:val="0"/>
        </w:rPr>
        <w:t>The housing workflow used dichotomous predictors, transformed variables, an interaction, a polynomial term, regularized regression, feature subset checks, and a dimension-reduction comparison.  HasGarage and HasBasement made binary structure visible, Qual_x_LivingArea represented an interaction, GrLivArea_sq represented polynomial structure, and the log target reduced skew.  The engineered predictors fit the Ames housing setting because sale price depends on size, age, quality, and amenity indicators (De Cock, 2011).  Ridge was slightly stronger on the simple local validation split, but gradient boosting was stronger on Kaggle.  That difference is useful because it shows why the external leaderboard is important; one local split does not fully represent the test distribution.  The subset comparison favored the full engineered feature set over smaller SelectKBest subsets, and the SVD model was useful but not the strongest option.</w:t>
      </w:r>
    </w:p>
    <w:p>
      <w:pPr>
        <w:spacing w:line="480" w:lineRule="auto"/>
        <w:jc w:val="center"/>
      </w:pPr>
      <w:r>
        <w:rPr>
          <w:b/>
          <w:i w:val="0"/>
        </w:rPr>
        <w:t>House Prices Diagnostics</w:t>
      </w:r>
    </w:p>
    <w:p>
      <w:pPr>
        <w:spacing w:line="480" w:lineRule="auto" w:after="0"/>
        <w:ind w:firstLine="720"/>
      </w:pPr>
      <w:r>
        <w:rPr>
          <w:b w:val="0"/>
          <w:i w:val="0"/>
        </w:rPr>
        <w:t>The regression diagnostics add context beyond the leaderboard score.  The residual-vs-fitted plots for ridge and gradient boosting were centered around zero, but the residual spread was not perfectly constant across the fitted price range.  This is expected in housing data because higher-priced homes often have larger pricing errors even after log transformation.  The log target transformation reduced skew, but it did not remove every form of heteroscedasticity.  For that reason, the final interpretation weighs local validation, residual diagnostics, and Kaggle performance together rather than trusting any single number.</w:t>
      </w:r>
    </w:p>
    <w:p>
      <w:pPr>
        <w:spacing w:line="480" w:lineRule="auto"/>
        <w:jc w:val="center"/>
      </w:pPr>
      <w:r>
        <w:rPr>
          <w:b/>
          <w:i w:val="0"/>
        </w:rPr>
        <w:t>San Francisco Crime Findings</w:t>
      </w:r>
    </w:p>
    <w:p>
      <w:pPr>
        <w:spacing w:line="480" w:lineRule="auto" w:after="0"/>
        <w:ind w:firstLine="720"/>
      </w:pPr>
      <w:r>
        <w:rPr>
          <w:b w:val="0"/>
          <w:i w:val="0"/>
        </w:rPr>
        <w:t>The San Francisco Crime workflow treated the task as imbalanced multiclass classification.  Local sampled validation reported accuracy, macro F1, and log loss because common categories dominate ordinary accuracy.  LARCENY/THEFT accounts for about one-fifth of the training data, while many categories are much rarer.  The Kaggle results favored random forest over the single decision tree and linear SVM.  This result is consistent with random forests averaging many trees and producing smoother probability estimates, while the linear SVM has limited ability to model the nonlinear spatial-temporal structure of crime reports (Breiman, 2001; Cortes &amp; Vapnik, 1995; Sokolova &amp; Lapalme, 2009).</w:t>
      </w:r>
    </w:p>
    <w:p>
      <w:pPr>
        <w:spacing w:line="480" w:lineRule="auto"/>
        <w:jc w:val="center"/>
      </w:pPr>
      <w:r>
        <w:rPr>
          <w:b/>
          <w:i w:val="0"/>
        </w:rPr>
        <w:t>San Francisco Crime Probability Evidence</w:t>
      </w:r>
    </w:p>
    <w:p>
      <w:pPr>
        <w:spacing w:line="480" w:lineRule="auto" w:after="0"/>
        <w:ind w:firstLine="720"/>
      </w:pPr>
      <w:r>
        <w:rPr>
          <w:b w:val="0"/>
          <w:i w:val="0"/>
        </w:rPr>
        <w:t>The SF Crime competition requires probability columns, not only class labels.  The notebook therefore documents how each probability file was created and checks the submitted file structure.  The decision tree and random forest use native class probabilities.  The linear SVM does not naturally produce calibrated probabilities, so the submitted file used softmax-normalized decision scores to create class-probability rows.  This is a practical first-pass conversion, but a stronger future version would use explicit calibration.  The sampled file checks show that the probability rows sum to approximately one and that the submitted CSVs match the competition's expected row count.</w:t>
      </w:r>
    </w:p>
    <w:p>
      <w:pPr>
        <w:spacing w:line="480" w:lineRule="auto"/>
        <w:jc w:val="center"/>
      </w:pPr>
      <w:r>
        <w:rPr>
          <w:b/>
          <w:i w:val="0"/>
        </w:rPr>
        <w:t>Assumptions and Evidence</w:t>
      </w:r>
    </w:p>
    <w:p>
      <w:pPr>
        <w:spacing w:line="480" w:lineRule="auto" w:after="0"/>
        <w:ind w:firstLine="720"/>
      </w:pPr>
      <w:r>
        <w:rPr>
          <w:b w:val="0"/>
          <w:i w:val="0"/>
        </w:rPr>
        <w:t>The assumption investigation was matched to the model family.  Store Sales checked time order, validation forecasting behavior, residual patterns, and Ljung-Box autocorrelation.  House Prices checked missingness, target skew, engineered predictors, residual spread, subset sensitivity, and dimension reduction.  San Francisco Crime checked class imbalance, sampled validation performance, probability construction, and the gap between accuracy and macro F1.  All seven Kaggle submissions are complete, and the notebook verifies both the local submission files and the status rows.  This traceability is important because the signature assignment is not only asking for model scores; it is asking for code, evidence, interpretation, and assumptions.</w:t>
      </w:r>
    </w:p>
    <w:p>
      <w:pPr>
        <w:spacing w:line="480" w:lineRule="auto"/>
        <w:jc w:val="center"/>
      </w:pPr>
      <w:r>
        <w:rPr>
          <w:b/>
          <w:i w:val="0"/>
        </w:rPr>
        <w:t>Presentation and Repository Evidence</w:t>
      </w:r>
    </w:p>
    <w:p>
      <w:pPr>
        <w:spacing w:line="480" w:lineRule="auto" w:after="0"/>
        <w:ind w:firstLine="720"/>
      </w:pPr>
      <w:r>
        <w:rPr>
          <w:b w:val="0"/>
          <w:i w:val="0"/>
        </w:rPr>
        <w:t>The assignment also requires a 9-11 slide PowerPoint and a 5-10 minute video.  The PowerPoint is a 10-slide deck, and the video script is organized slide-by-slide so the oral presentation can stay within the required time window.  The public repository is `https://github.com/maldo81/dds-8555-predictive-analysis`, and the notebook path is `Week 8/Assignment 8/MaldonadoJDDS8555-8.ipynb`.  The public-facing folder contains the Word document, executed notebook, and PowerPoint deck, while the private coursework repository keeps the HTML, report markdown, video script, and generated support artifacts.</w:t>
      </w:r>
    </w:p>
    <w:p>
      <w:pPr>
        <w:spacing w:line="480" w:lineRule="auto" w:after="0"/>
        <w:ind w:firstLine="720"/>
      </w:pPr>
      <w:r>
        <w:rPr>
          <w:b w:val="0"/>
          <w:i w:val="0"/>
        </w:rPr>
        <w:t>GitHub/code note: The Python notebook is the code artifact for this assignment and is posted with the public submission repository.  The assignment prompt gives three pages plus Python notebook, video, and PowerPoint as the length guidance, and the notebook carries the detailed output, diagnostics, and submission evidence.</w:t>
      </w:r>
    </w:p>
    <w:p>
      <w:pPr>
        <w:sectPr>
          <w:pgSz w:w="12240" w:h="15840"/>
          <w:pgMar w:top="1440" w:right="1440" w:bottom="1440" w:left="1440" w:header="720" w:footer="720" w:gutter="0"/>
          <w:cols w:space="720"/>
          <w:docGrid w:linePitch="360"/>
        </w:sectPr>
      </w:pPr>
    </w:p>
    <w:p>
      <w:pPr>
        <w:spacing w:line="480" w:lineRule="auto"/>
        <w:jc w:val="center"/>
      </w:pPr>
      <w:r>
        <w:rPr>
          <w:b/>
          <w:i w:val="0"/>
        </w:rPr>
        <w:t>References</w:t>
      </w:r>
    </w:p>
    <w:p>
      <w:pPr>
        <w:spacing w:line="480" w:lineRule="auto"/>
        <w:ind w:left="720" w:hanging="720"/>
      </w:pPr>
      <w:r>
        <w:t>Breiman, L. (2001).  Random forests.  Machine Learning, 45, 5-32. https://doi.org/10.1023/A:1010933404324</w:t>
      </w:r>
    </w:p>
    <w:p>
      <w:pPr>
        <w:spacing w:line="480" w:lineRule="auto"/>
        <w:ind w:left="720" w:hanging="720"/>
      </w:pPr>
      <w:r>
        <w:t>Cortes, C., &amp; Vapnik, V. (1995).  Support-vector networks.  Machine Learning, 20, 273-297. https://doi.org/10.1007/BF00994018</w:t>
      </w:r>
    </w:p>
    <w:p>
      <w:pPr>
        <w:spacing w:line="480" w:lineRule="auto"/>
        <w:ind w:left="720" w:hanging="720"/>
      </w:pPr>
      <w:r>
        <w:t>De Cock, D. (2011).  Ames, Iowa: Alternative to the Boston housing data as an end of semester regression project.  Journal of Statistics Education, 19(3). https://doi.org/10.1080/10691898.2011.11889627</w:t>
      </w:r>
    </w:p>
    <w:p>
      <w:pPr>
        <w:spacing w:line="480" w:lineRule="auto"/>
        <w:ind w:left="720" w:hanging="720"/>
      </w:pPr>
      <w:r>
        <w:t>Hyndman, R.  J., &amp; Athanasopoulos, G. (2021).  Forecasting: Principles and Practice (3rd ed.).  OTexts. https://otexts.com/fpp3/</w:t>
      </w:r>
    </w:p>
    <w:p>
      <w:pPr>
        <w:spacing w:line="480" w:lineRule="auto"/>
        <w:ind w:left="720" w:hanging="720"/>
      </w:pPr>
      <w:r>
        <w:t>Sokolova, M., &amp; Lapalme, G. (2009).  A systematic analysis of performance measures for classification tasks.  Information Processing &amp; Management, 45(4), 427-437. https://doi.org/10.1016/j.ipm.2009.03.002</w:t>
      </w:r>
    </w:p>
    <w:p>
      <w:pPr>
        <w:spacing w:line="480" w:lineRule="auto"/>
        <w:ind w:left="720" w:hanging="720"/>
      </w:pPr>
      <w:r>
        <w:t>Tibshirani, R. (1996).  Regression shrinkage and selection via the lasso.  Journal of the Royal Statistical Society: Series B, 58(1), 267-288. https://doi.org/10.1111/j.2517-6161.1996.tb02080.x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