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line="480" w:lineRule="auto" w:after="0"/>
        <w:jc w:val="center"/>
      </w:pPr>
      <w:r>
        <w:rPr>
          <w:b w:val="0"/>
          <w:i w:val="0"/>
        </w:rPr>
        <w:t>Assignment 3: Build Non-Linear Models Part 1</w:t>
      </w:r>
    </w:p>
    <w:p>
      <w:pPr>
        <w:spacing w:line="480" w:lineRule="auto" w:after="0"/>
        <w:jc w:val="center"/>
      </w:pPr>
      <w:r>
        <w:rPr>
          <w:b w:val="0"/>
          <w:i w:val="0"/>
        </w:rPr>
        <w:t>Juan Maldonado Franco</w:t>
      </w:r>
    </w:p>
    <w:p>
      <w:pPr>
        <w:spacing w:line="480" w:lineRule="auto" w:after="0"/>
        <w:jc w:val="center"/>
      </w:pPr>
      <w:r>
        <w:rPr>
          <w:b w:val="0"/>
          <w:i w:val="0"/>
        </w:rPr>
        <w:t>Department of Technology, National University</w:t>
      </w:r>
    </w:p>
    <w:p>
      <w:pPr>
        <w:spacing w:line="480" w:lineRule="auto" w:after="0"/>
        <w:jc w:val="center"/>
      </w:pPr>
      <w:r>
        <w:rPr>
          <w:b w:val="0"/>
          <w:i w:val="0"/>
        </w:rPr>
        <w:t>DDS-8555 Predictive Analysis</w:t>
      </w:r>
    </w:p>
    <w:p>
      <w:pPr>
        <w:spacing w:line="480" w:lineRule="auto" w:after="0"/>
        <w:jc w:val="center"/>
      </w:pPr>
      <w:r>
        <w:rPr>
          <w:b w:val="0"/>
          <w:i w:val="0"/>
        </w:rPr>
        <w:t>Mohamed Nabeel</w:t>
      </w:r>
    </w:p>
    <w:p>
      <w:pPr>
        <w:spacing w:line="480" w:lineRule="auto" w:after="0"/>
        <w:jc w:val="center"/>
      </w:pPr>
      <w:r>
        <w:rPr>
          <w:b w:val="0"/>
          <w:i w:val="0"/>
        </w:rPr>
        <w:t>June 07, 2026</w:t>
      </w:r>
    </w:p>
    <w:p>
      <w:pPr>
        <w:sectPr>
          <w:headerReference w:type="default" r:id="rId9"/>
          <w:pgSz w:w="12240" w:h="15840"/>
          <w:pgMar w:top="1440" w:right="1440" w:bottom="1440" w:left="1440" w:header="720" w:footer="720" w:gutter="0"/>
          <w:cols w:space="720"/>
          <w:docGrid w:linePitch="360"/>
        </w:sectPr>
      </w:pPr>
    </w:p>
    <w:p>
      <w:pPr>
        <w:spacing w:line="480" w:lineRule="auto"/>
        <w:jc w:val="center"/>
      </w:pPr>
      <w:r>
        <w:rPr>
          <w:b/>
          <w:i w:val="0"/>
        </w:rPr>
        <w:t>Assignment 3: Build Non-Linear Models Part 1</w:t>
      </w:r>
    </w:p>
    <w:p>
      <w:pPr>
        <w:spacing w:line="480" w:lineRule="auto"/>
        <w:jc w:val="center"/>
      </w:pPr>
      <w:r>
        <w:rPr>
          <w:b/>
          <w:i w:val="0"/>
        </w:rPr>
        <w:t>Executive Summary</w:t>
      </w:r>
    </w:p>
    <w:p>
      <w:pPr>
        <w:spacing w:line="480" w:lineRule="auto" w:after="0"/>
        <w:ind w:firstLine="720"/>
      </w:pPr>
      <w:r>
        <w:rPr>
          <w:b w:val="0"/>
          <w:i w:val="0"/>
        </w:rPr>
        <w:t>This assignment treated model selection as a balance between predictive accuracy and stability.  The conceptual question is answered from the definitions of the algorithms: best subset selection has the lowest training RSS for a fixed model size because it searches the full model space, but that does not guarantee the lowest test RSS.  Forward and backward stepwise models are nested along their own search paths, while cross-method and best-subset nesting claims are false in general because those procedures are not constrained to share the same path (James et al., 2023).</w:t>
      </w:r>
    </w:p>
    <w:p>
      <w:pPr>
        <w:spacing w:line="480" w:lineRule="auto"/>
        <w:jc w:val="center"/>
      </w:pPr>
      <w:r>
        <w:rPr>
          <w:b/>
          <w:i w:val="0"/>
        </w:rPr>
        <w:t>Simulated Selection</w:t>
      </w:r>
    </w:p>
    <w:p>
      <w:pPr>
        <w:spacing w:line="480" w:lineRule="auto" w:after="0"/>
        <w:ind w:firstLine="720"/>
      </w:pPr>
      <w:r>
        <w:rPr>
          <w:b w:val="0"/>
          <w:i w:val="0"/>
        </w:rPr>
        <w:t>The simulated polynomial exercise explicitly generated X, epsilon, and Y = 1 + 2X - 1.5X^2 + 0.75X^3 + epsilon, then evaluated best subset selection using predictors X through X^10.  The notebook reports Cp, BIC, and adjusted R2 for the best model at each size, plots all three criteria, and reports the selected coefficients for the criterion-winning models.  It then repeats the selection task with forward and backward stepwise paths so the restricted searches can be compared against exhaustive best subset selection.  Lasso used cross-validation to choose lambda, with the cross-validation error plotted as a function of lambda.  The second simulation changed the true response to Y = 1 + 3X^7 + epsilon, then repeated best subset selection and lasso to show whether each method recovered the sparse seventh-power signal.</w:t>
      </w:r>
    </w:p>
    <w:p>
      <w:pPr>
        <w:spacing w:line="480" w:lineRule="auto"/>
        <w:jc w:val="center"/>
      </w:pPr>
      <w:r>
        <w:rPr>
          <w:b/>
          <w:i w:val="0"/>
        </w:rPr>
        <w:t>Kaggle Model 1: Elastic Net</w:t>
      </w:r>
    </w:p>
    <w:p>
      <w:pPr>
        <w:spacing w:line="480" w:lineRule="auto" w:after="0"/>
        <w:ind w:firstLine="720"/>
      </w:pPr>
      <w:r>
        <w:rPr>
          <w:b w:val="0"/>
          <w:i w:val="0"/>
        </w:rPr>
        <w:t>The first Abalone submission used elastic net regularized regression.  This model is the strongest fit for the regularization requirement because it keeps the original predictors visible while shrinking unstable coefficients.  The coefficient table in the notebook shows which standardized physical measurements retain signal after shrinkage, and the selected alpha and l1 ratio document the regularization strength chosen by cross-validation (Tibshirani, 1996).  The recorded Kaggle public/private scores were 0.16444/0.16373.</w:t>
      </w:r>
    </w:p>
    <w:p>
      <w:pPr>
        <w:spacing w:line="480" w:lineRule="auto"/>
        <w:jc w:val="center"/>
      </w:pPr>
      <w:r>
        <w:rPr>
          <w:b/>
          <w:i w:val="0"/>
        </w:rPr>
        <w:t>Kaggle Model 2: PCR Ridge</w:t>
      </w:r>
    </w:p>
    <w:p>
      <w:pPr>
        <w:spacing w:line="480" w:lineRule="auto" w:after="0"/>
        <w:ind w:firstLine="720"/>
      </w:pPr>
      <w:r>
        <w:rPr>
          <w:b w:val="0"/>
          <w:i w:val="0"/>
        </w:rPr>
        <w:t>The second Abalone submission used principal components regression with ridge regression.  PCR reduced the predictor space and retained most of the predictor variance before the ridge model was fit, but interpretation moved from original measurements to components.  This is useful as a dimensionality-reduction comparison, but it is less directly interpretable than elastic net because the predictors are rotated into principal components (Jolliffe, 2002).  The recorded Kaggle public/private scores were 0.18220/0.18228.</w:t>
      </w:r>
    </w:p>
    <w:p>
      <w:pPr>
        <w:spacing w:line="480" w:lineRule="auto"/>
        <w:jc w:val="center"/>
      </w:pPr>
      <w:r>
        <w:rPr>
          <w:b/>
          <w:i w:val="0"/>
        </w:rPr>
        <w:t>Assumptions and Evidence</w:t>
      </w:r>
    </w:p>
    <w:p>
      <w:pPr>
        <w:spacing w:line="480" w:lineRule="auto" w:after="0"/>
        <w:ind w:firstLine="720"/>
      </w:pPr>
      <w:r>
        <w:rPr>
          <w:b w:val="0"/>
          <w:i w:val="0"/>
        </w:rPr>
        <w:t>The assumption investigation now includes visible data-quality checks, multicollinearity diagnostics, validation residual summaries, and residual-vs-fitted plots.  The Abalone quality check verifies expected columns, duplicate IDs, missing values, and invalid physical measurements before modeling.  The VIF table shows why shrinkage and PCR are appropriate: the Abalone shell and weight measures are physically related and therefore highly overlapping.  The residual summaries and plots check whether the elastic net and PCR ridge models show systematic bias or widening errors across fitted ring counts.  The notebook separates the two Kaggle models, maps each model to its submission file, reports validation RMSLE, and includes Kaggle evidence for both submissions.  The public repository is `https://github.com/maldo81/dds-8555-predictive-analysis`, and the notebook path is `Week 3/Assignment 3/MaldonadoJDDS8555-3.ipynb`.</w:t>
      </w:r>
    </w:p>
    <w:p>
      <w:pPr>
        <w:spacing w:line="480" w:lineRule="auto" w:after="0"/>
        <w:ind w:firstLine="720"/>
      </w:pPr>
      <w:r>
        <w:rPr>
          <w:b w:val="0"/>
          <w:i w:val="0"/>
        </w:rPr>
        <w:t>GitHub/code note: The Python notebook is the code artifact for this assignment and is ready to post with the submission.  The assignment prompt gives one page plus Python notebook as the length guidance, and the notebook carries the detailed output, diagnostics, and submission evidence.</w:t>
      </w:r>
    </w:p>
    <w:p>
      <w:pPr>
        <w:sectPr>
          <w:pgSz w:w="12240" w:h="15840"/>
          <w:pgMar w:top="1440" w:right="1440" w:bottom="1440" w:left="1440" w:header="720" w:footer="720" w:gutter="0"/>
          <w:cols w:space="720"/>
          <w:docGrid w:linePitch="360"/>
        </w:sectPr>
      </w:pPr>
    </w:p>
    <w:p>
      <w:pPr>
        <w:spacing w:line="480" w:lineRule="auto"/>
        <w:jc w:val="center"/>
      </w:pPr>
      <w:r>
        <w:rPr>
          <w:b/>
          <w:i w:val="0"/>
        </w:rPr>
        <w:t>References</w:t>
      </w:r>
    </w:p>
    <w:p>
      <w:pPr>
        <w:spacing w:line="480" w:lineRule="auto"/>
        <w:ind w:left="720" w:hanging="720"/>
      </w:pPr>
      <w:r>
        <w:t>Hastie, T., Tibshirani, R., &amp; Friedman, J. (2009).  The elements of statistical learning: Data mining, inference, and prediction (2nd ed.).  Springer. https://doi.org/10.1007/978-0-387-84858-7</w:t>
      </w:r>
    </w:p>
    <w:p>
      <w:pPr>
        <w:spacing w:line="480" w:lineRule="auto"/>
        <w:ind w:left="720" w:hanging="720"/>
      </w:pPr>
      <w:r>
        <w:t>James, G., Witten, D., Hastie, T., Tibshirani, R., &amp; Taylor, J. (2023).  An introduction to statistical learning: With applications in Python.  Springer. https://doi.org/10.1007/978-3-031-38747-0</w:t>
      </w:r>
    </w:p>
    <w:p>
      <w:pPr>
        <w:spacing w:line="480" w:lineRule="auto"/>
        <w:ind w:left="720" w:hanging="720"/>
      </w:pPr>
      <w:r>
        <w:t>Jolliffe, I.  T. (2002).  Principal component analysis (2nd ed.).  Springer. https://doi.org/10.1007/b98835</w:t>
      </w:r>
    </w:p>
    <w:p>
      <w:pPr>
        <w:spacing w:line="480" w:lineRule="auto"/>
        <w:ind w:left="720" w:hanging="720"/>
      </w:pPr>
      <w:r>
        <w:t>Nash, W.  J., Sellers, T.  L., Talbot, S.  R., Cawthorn, A.  J., &amp; Ford, W.  B. (1994).  The population biology of abalone (Haliotis species) in Tasmania.  I.  Blacklip abalone (H. rubra) from the north coast and islands of Bass Strait (Technical Report No.  48).  Sea Fisheries Division.</w:t>
      </w:r>
    </w:p>
    <w:p>
      <w:pPr>
        <w:spacing w:line="480" w:lineRule="auto"/>
        <w:ind w:left="720" w:hanging="720"/>
      </w:pPr>
      <w:r>
        <w:t>Tibshirani, R. (1996).  Regression shrinkage and selection via the lasso.  Journal of the Royal Statistical Society: Series B, 58(1), 267-288. https://doi.org/10.1111/j.2517-6161.1996.tb02080.x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