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Pr>
        <w:spacing w:line="480" w:lineRule="auto" w:after="0"/>
        <w:jc w:val="center"/>
      </w:pPr>
      <w:r>
        <w:rPr>
          <w:b w:val="0"/>
          <w:i w:val="0"/>
        </w:rPr>
        <w:t>Assignment 2: Build Regression Models</w:t>
      </w:r>
    </w:p>
    <w:p>
      <w:pPr>
        <w:spacing w:line="480" w:lineRule="auto" w:after="0"/>
        <w:jc w:val="center"/>
      </w:pPr>
      <w:r>
        <w:rPr>
          <w:b w:val="0"/>
          <w:i w:val="0"/>
        </w:rPr>
        <w:t>Juan Maldonado Franco</w:t>
      </w:r>
    </w:p>
    <w:p>
      <w:pPr>
        <w:spacing w:line="480" w:lineRule="auto" w:after="0"/>
        <w:jc w:val="center"/>
      </w:pPr>
      <w:r>
        <w:rPr>
          <w:b w:val="0"/>
          <w:i w:val="0"/>
        </w:rPr>
        <w:t>Department of Technology, National University</w:t>
      </w:r>
    </w:p>
    <w:p>
      <w:pPr>
        <w:spacing w:line="480" w:lineRule="auto" w:after="0"/>
        <w:jc w:val="center"/>
      </w:pPr>
      <w:r>
        <w:rPr>
          <w:b w:val="0"/>
          <w:i w:val="0"/>
        </w:rPr>
        <w:t>DDS-8555 Predictive Analysis</w:t>
      </w:r>
    </w:p>
    <w:p>
      <w:pPr>
        <w:spacing w:line="480" w:lineRule="auto" w:after="0"/>
        <w:jc w:val="center"/>
      </w:pPr>
      <w:r>
        <w:rPr>
          <w:b w:val="0"/>
          <w:i w:val="0"/>
        </w:rPr>
        <w:t>Mohamed Nabeel</w:t>
      </w:r>
    </w:p>
    <w:p>
      <w:pPr>
        <w:spacing w:line="480" w:lineRule="auto" w:after="0"/>
        <w:jc w:val="center"/>
      </w:pPr>
      <w:r>
        <w:rPr>
          <w:b w:val="0"/>
          <w:i w:val="0"/>
        </w:rPr>
        <w:t>June 07, 2026</w:t>
      </w:r>
    </w:p>
    <w:p>
      <w:pPr>
        <w:sectPr>
          <w:headerReference w:type="default" r:id="rId9"/>
          <w:pgSz w:w="12240" w:h="15840"/>
          <w:pgMar w:top="1440" w:right="1440" w:bottom="1440" w:left="1440" w:header="720" w:footer="720" w:gutter="0"/>
          <w:cols w:space="720"/>
          <w:docGrid w:linePitch="360"/>
        </w:sectPr>
      </w:pPr>
    </w:p>
    <w:p>
      <w:pPr>
        <w:spacing w:line="480" w:lineRule="auto"/>
        <w:jc w:val="center"/>
      </w:pPr>
      <w:r>
        <w:rPr>
          <w:b/>
          <w:i w:val="0"/>
        </w:rPr>
        <w:t>Assignment 2: Build Regression Models</w:t>
      </w:r>
    </w:p>
    <w:p>
      <w:pPr>
        <w:spacing w:line="480" w:lineRule="auto"/>
        <w:jc w:val="center"/>
      </w:pPr>
      <w:r>
        <w:rPr>
          <w:b/>
          <w:i w:val="0"/>
        </w:rPr>
        <w:t>Executive Summary</w:t>
      </w:r>
    </w:p>
    <w:p>
      <w:pPr>
        <w:spacing w:line="480" w:lineRule="auto" w:after="0"/>
        <w:ind w:firstLine="720"/>
      </w:pPr>
      <w:r>
        <w:rPr>
          <w:b w:val="0"/>
          <w:i w:val="0"/>
        </w:rPr>
        <w:t>This assignment used regression as both an interpretive and predictive tool.  The ISLP salary question showed why interaction terms must be interpreted conditionally rather than as isolated coefficients: statement iii is correct, the salary substitution is 50 + 20(4.0) + 0.07(110) + 35(1) + 0.01(4.0)(110) - 10(4.0)(1) = 137.1, and the small interaction coefficient claim is false because inference depends on the t-statistic and standard error (James et al., 2023).  In the Carseats model, Price and the US indicator carried the practical signal, while Urban did not add clear evidence once the other predictors were included.  The smaller model retained nearly the same fit as the full model, with R2 about .239, Durbin-Watson about 1.91, and low VIF values.</w:t>
      </w:r>
    </w:p>
    <w:p>
      <w:pPr>
        <w:spacing w:line="480" w:lineRule="auto"/>
        <w:jc w:val="center"/>
      </w:pPr>
      <w:r>
        <w:rPr>
          <w:b/>
          <w:i w:val="0"/>
        </w:rPr>
        <w:t>Conceptual Question</w:t>
      </w:r>
    </w:p>
    <w:p>
      <w:pPr>
        <w:spacing w:line="480" w:lineRule="auto" w:after="0"/>
        <w:ind w:firstLine="720"/>
      </w:pPr>
      <w:r>
        <w:rPr>
          <w:b w:val="0"/>
          <w:i w:val="0"/>
        </w:rPr>
        <w:t>The conceptual regression question turns on the interaction between GPA and education level.  The college-versus-high-school difference is 35 - 10GPA, so college graduates have the higher predicted salary only when GPA is below 3.5.  That rules out the alternatives that treat the college effect as always positive or independent of GPA.  The prediction for a college graduate with GPA 4.0 and IQ 110 is 137.1 thousand dollars.  The claim that a small raw interaction coefficient proves a weak interaction is false because the relevant evidence is the coefficient relative to its standard error, expressed through the t-statistic, and because coefficient magnitude also depends on measurement scale (James et al., 2023).</w:t>
      </w:r>
    </w:p>
    <w:p>
      <w:pPr>
        <w:spacing w:line="480" w:lineRule="auto"/>
        <w:jc w:val="center"/>
      </w:pPr>
      <w:r>
        <w:rPr>
          <w:b/>
          <w:i w:val="0"/>
        </w:rPr>
        <w:t>Carseats Regression</w:t>
      </w:r>
    </w:p>
    <w:p>
      <w:pPr>
        <w:spacing w:line="480" w:lineRule="auto" w:after="0"/>
        <w:ind w:firstLine="720"/>
      </w:pPr>
      <w:r>
        <w:rPr>
          <w:b w:val="0"/>
          <w:i w:val="0"/>
        </w:rPr>
        <w:t>The full Carseats model was Sales = 13.043 - 0.0545(Price) - 0.022I(Urban = Yes) + 1.201I(US = Yes) + epsilon.  Sales is measured in thousands of units, so the Price coefficient means that each one-dollar increase in price is associated with about 0.0545 thousand fewer units sold, holding the indicator variables constant.  The US coefficient means U.S. stores are predicted to sell about 1.2 thousand more units than non-U.S. stores at the same price and Urban status.  The Urban coefficient is practically and statistically negligible.  The hypothesis tests reject H0: beta_j = 0 for Price and US, both with very small p-values, and fail to reject Urban, p = .936.  Removing Urban preserves the practical fit of the model, and the nested comparison supports the smaller model as a cleaner explanation.</w:t>
      </w:r>
    </w:p>
    <w:p>
      <w:pPr>
        <w:spacing w:line="480" w:lineRule="auto"/>
        <w:jc w:val="center"/>
      </w:pPr>
      <w:r>
        <w:rPr>
          <w:b/>
          <w:i w:val="0"/>
        </w:rPr>
        <w:t>Assumptions and Diagnostics</w:t>
      </w:r>
    </w:p>
    <w:p>
      <w:pPr>
        <w:spacing w:line="480" w:lineRule="auto" w:after="0"/>
        <w:ind w:firstLine="720"/>
      </w:pPr>
      <w:r>
        <w:rPr>
          <w:b w:val="0"/>
          <w:i w:val="0"/>
        </w:rPr>
        <w:t>The regression checks focused on linearity, independence of residuals, collinearity, residual distribution, and influential observations because those assumptions shape how much trust can be placed in coefficient interpretation (Snee, 1977).  For Carseats, the residuals-vs-fitted plot and Breusch-Pagan result did not show a severe constant-variance problem, Durbin-Watson was about 1.91 and therefore close to the independence target of 2, VIF values were near 1 for the non-intercept terms, and the Jarque-Bera and Q-Q checks did not show severe residual non-normality.  The leverage, externally studentized residual, Cook's distance, and influence-plot checks did not suggest that the conclusion depended on a small number of observations.</w:t>
      </w:r>
    </w:p>
    <w:p>
      <w:pPr>
        <w:spacing w:line="480" w:lineRule="auto"/>
        <w:jc w:val="center"/>
      </w:pPr>
      <w:r>
        <w:rPr>
          <w:b/>
          <w:i w:val="0"/>
        </w:rPr>
        <w:t>Abalone Modeling Context</w:t>
      </w:r>
    </w:p>
    <w:p>
      <w:pPr>
        <w:spacing w:line="480" w:lineRule="auto" w:after="0"/>
        <w:ind w:firstLine="720"/>
      </w:pPr>
      <w:r>
        <w:rPr>
          <w:b w:val="0"/>
          <w:i w:val="0"/>
        </w:rPr>
        <w:t>The Abalone competition was treated as a prediction problem with model interpretation rather than as a pure leaderboard exercise.  Rings was right-skewed, and the competition uses RMSLE, which evaluates proportional error on the log scale rather than raw error on the original scale.  The mean baseline RMSLE was about 0.291, so both submitted models needed to improve on that baseline to be useful.</w:t>
      </w:r>
    </w:p>
    <w:p>
      <w:pPr>
        <w:spacing w:line="480" w:lineRule="auto"/>
        <w:jc w:val="center"/>
      </w:pPr>
      <w:r>
        <w:rPr>
          <w:b/>
          <w:i w:val="0"/>
        </w:rPr>
        <w:t>Kaggle Model 1: Ridge Regression</w:t>
      </w:r>
    </w:p>
    <w:p>
      <w:pPr>
        <w:spacing w:line="480" w:lineRule="auto" w:after="0"/>
        <w:ind w:firstLine="720"/>
      </w:pPr>
      <w:r>
        <w:rPr>
          <w:b w:val="0"/>
          <w:i w:val="0"/>
        </w:rPr>
        <w:t>The first Assignment 2 Kaggle submission used ridge regression.  Ridge improved validation RMSLE to about 0.166 and produced public/private Kaggle scores of 0.16442/0.16372.  The Abalone VIF and correlation checks showed substantial overlap among shell size and weight predictors, which made ridge a defensible regularized baseline.  The ridge coefficient table makes the direction and relative magnitude of the standardized measurement effects visible.</w:t>
      </w:r>
    </w:p>
    <w:p>
      <w:pPr>
        <w:spacing w:line="480" w:lineRule="auto"/>
        <w:jc w:val="center"/>
      </w:pPr>
      <w:r>
        <w:rPr>
          <w:b/>
          <w:i w:val="0"/>
        </w:rPr>
        <w:t>Kaggle Model 2: Random Forest</w:t>
      </w:r>
    </w:p>
    <w:p>
      <w:pPr>
        <w:spacing w:line="480" w:lineRule="auto" w:after="0"/>
        <w:ind w:firstLine="720"/>
      </w:pPr>
      <w:r>
        <w:rPr>
          <w:b w:val="0"/>
          <w:i w:val="0"/>
        </w:rPr>
        <w:t>The second Assignment 2 Kaggle submission used a random forest.  The random forest improved validation RMSLE to about 0.154 and produced public/private Kaggle scores of 0.14927/0.14943.  It performed better than ridge because it could use nonlinear measurement patterns connected to abalone ring-based age estimation (Nash et al., 1994).  The feature-importance table makes the model behavior visible rather than treating the submission score as a black box.</w:t>
      </w:r>
    </w:p>
    <w:p>
      <w:pPr>
        <w:spacing w:line="480" w:lineRule="auto"/>
        <w:jc w:val="center"/>
      </w:pPr>
      <w:r>
        <w:rPr>
          <w:b/>
          <w:i w:val="0"/>
        </w:rPr>
        <w:t>Submission Evidence</w:t>
      </w:r>
    </w:p>
    <w:p>
      <w:pPr>
        <w:spacing w:line="480" w:lineRule="auto" w:after="0"/>
        <w:ind w:firstLine="720"/>
      </w:pPr>
      <w:r>
        <w:rPr>
          <w:b w:val="0"/>
          <w:i w:val="0"/>
        </w:rPr>
        <w:t>The Kaggle evidence documented two completed Assignment 2 submissions and mapped them to the ridge and random forest CSV files.  The notebook refits both models on the full training data, writes the two A2 submission CSV files, verifies that those files exist locally, and then displays the Kaggle status rows.  The public GitHub repository for submission is `https://github.com/maldo81/dds-8555-predictive-analysis`, with the Week 2 notebook located at `Week 2/Assignment 2/MaldonadoJDDS8555-2.ipynb`.</w:t>
      </w:r>
    </w:p>
    <w:p>
      <w:pPr>
        <w:spacing w:line="480" w:lineRule="auto" w:after="0"/>
        <w:ind w:firstLine="720"/>
      </w:pPr>
      <w:r>
        <w:rPr>
          <w:b w:val="0"/>
          <w:i w:val="0"/>
        </w:rPr>
        <w:t>GitHub/code note: The Python notebook is the code artifact for this assignment and is ready to post with the submission.  The assignment prompt gives one page plus Python notebook as the length guidance, and the notebook carries the detailed output, diagnostics, and submission evidence.</w:t>
      </w:r>
    </w:p>
    <w:p>
      <w:pPr>
        <w:sectPr>
          <w:pgSz w:w="12240" w:h="15840"/>
          <w:pgMar w:top="1440" w:right="1440" w:bottom="1440" w:left="1440" w:header="720" w:footer="720" w:gutter="0"/>
          <w:cols w:space="720"/>
          <w:docGrid w:linePitch="360"/>
        </w:sectPr>
      </w:pPr>
    </w:p>
    <w:p>
      <w:pPr>
        <w:spacing w:line="480" w:lineRule="auto"/>
        <w:jc w:val="center"/>
      </w:pPr>
      <w:r>
        <w:rPr>
          <w:b/>
          <w:i w:val="0"/>
        </w:rPr>
        <w:t>References</w:t>
      </w:r>
    </w:p>
    <w:p>
      <w:pPr>
        <w:spacing w:line="480" w:lineRule="auto"/>
        <w:ind w:left="720" w:hanging="720"/>
      </w:pPr>
      <w:r>
        <w:t>James, G., Witten, D., Hastie, T., Tibshirani, R., &amp; Taylor, J. (2023).  An introduction to statistical learning: With applications in Python.  Springer. https://doi.org/10.1007/978-3-031-38747-0</w:t>
      </w:r>
    </w:p>
    <w:p>
      <w:pPr>
        <w:spacing w:line="480" w:lineRule="auto"/>
        <w:ind w:left="720" w:hanging="720"/>
      </w:pPr>
      <w:r>
        <w:t>Nash, W.  J., Sellers, T.  L., Talbot, S.  R., Cawthorn, A.  J., &amp; Ford, W.  B. (1994).  The population biology of abalone (Haliotis species) in Tasmania.  I.  Blacklip abalone (H. rubra) from the north coast and islands of Bass Strait (Technical Report No.  48).  Sea Fisheries Division.</w:t>
      </w:r>
    </w:p>
    <w:p>
      <w:pPr>
        <w:spacing w:line="480" w:lineRule="auto"/>
        <w:ind w:left="720" w:hanging="720"/>
      </w:pPr>
      <w:r>
        <w:t>Snee, R.  D. (1977).  Validation of regression models: Methods and examples.  Technometrics, 19(4), 415-428. https://doi.org/10.1080/00401706.1977.10489581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