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3: Build Non-Linear Models Part 1</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07,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3: Build Non-Linear Models Part 1</w:t>
      </w:r>
    </w:p>
    <w:p>
      <w:pPr>
        <w:spacing w:line="480" w:lineRule="auto"/>
        <w:jc w:val="center"/>
      </w:pPr>
      <w:r>
        <w:rPr>
          <w:b/>
          <w:i w:val="0"/>
        </w:rPr>
        <w:t>Executive Summary</w:t>
      </w:r>
    </w:p>
    <w:p>
      <w:pPr>
        <w:spacing w:line="480" w:lineRule="auto" w:after="0"/>
        <w:ind w:firstLine="720"/>
      </w:pPr>
      <w:r>
        <w:rPr>
          <w:b w:val="0"/>
          <w:i w:val="0"/>
        </w:rPr>
        <w:t>This assignment treated model selection as a balance between predictive accuracy and stability.  The conceptual question is answered from the definitions of the algorithms: best subset selection has the lowest training RSS for a fixed model size because it searches the full model space, but that does not guarantee the lowest test RSS.  Forward and backward stepwise models are nested along their own search paths, while cross-method and best-subset nesting claims are false in general because those procedures are not constrained to share the same path (James et al., 2023).</w:t>
      </w:r>
    </w:p>
    <w:p>
      <w:pPr>
        <w:spacing w:line="480" w:lineRule="auto"/>
        <w:jc w:val="center"/>
      </w:pPr>
      <w:r>
        <w:rPr>
          <w:b/>
          <w:i w:val="0"/>
        </w:rPr>
        <w:t>Simulated Selection</w:t>
      </w:r>
    </w:p>
    <w:p>
      <w:pPr>
        <w:spacing w:line="480" w:lineRule="auto" w:after="0"/>
        <w:ind w:firstLine="720"/>
      </w:pPr>
      <w:r>
        <w:rPr>
          <w:b w:val="0"/>
          <w:i w:val="0"/>
        </w:rPr>
        <w:t>The simulated polynomial exercise explicitly generated X, epsilon, and Y = 1 + 2X - 1.5X^2 + 0.75X^3 + epsilon, then compared forward stepwise selection, backward stepwise selection, and lasso using predictors X through X^10.  Mallows' Cp was computed for the forward and backward paths, and the selected coefficients were reported.  Lasso used cross-validation to choose lambda, with the cross-validation error plotted as a function of lambda.  The second simulation changed the true response to Y = 1 + 3X^7 + epsilon, then repeated forward selection and lasso so the notebook could show whether each method recovered the sparse seventh-power signal.</w:t>
      </w:r>
    </w:p>
    <w:p>
      <w:pPr>
        <w:spacing w:line="480" w:lineRule="auto"/>
        <w:jc w:val="center"/>
      </w:pPr>
      <w:r>
        <w:rPr>
          <w:b/>
          <w:i w:val="0"/>
        </w:rPr>
        <w:t>Kaggle Model 1: Elastic Net</w:t>
      </w:r>
    </w:p>
    <w:p>
      <w:pPr>
        <w:spacing w:line="480" w:lineRule="auto" w:after="0"/>
        <w:ind w:firstLine="720"/>
      </w:pPr>
      <w:r>
        <w:rPr>
          <w:b w:val="0"/>
          <w:i w:val="0"/>
        </w:rPr>
        <w:t>The first Abalone submission used elastic net regularized regression.  This model is the strongest fit for the regularization requirement because it keeps the original predictors visible while shrinking unstable coefficients.  The coefficient table in the notebook shows which standardized physical measurements retain signal after shrinkage, and the selected alpha and l1 ratio document the regularization strength chosen by cross-validation (Tibshirani, 1996).  The recorded Kaggle public/private scores were 0.16444/0.16373.</w:t>
      </w:r>
    </w:p>
    <w:p>
      <w:pPr>
        <w:spacing w:line="480" w:lineRule="auto"/>
        <w:jc w:val="center"/>
      </w:pPr>
      <w:r>
        <w:rPr>
          <w:b/>
          <w:i w:val="0"/>
        </w:rPr>
        <w:t>Kaggle Model 2: PCR Ridge</w:t>
      </w:r>
    </w:p>
    <w:p>
      <w:pPr>
        <w:spacing w:line="480" w:lineRule="auto" w:after="0"/>
        <w:ind w:firstLine="720"/>
      </w:pPr>
      <w:r>
        <w:rPr>
          <w:b w:val="0"/>
          <w:i w:val="0"/>
        </w:rPr>
        <w:t>The second Abalone submission used principal components regression with ridge regression.  PCR reduced the predictor space and retained most of the predictor variance before the ridge model was fit, but interpretation moved from original measurements to components.  This is useful as a dimensionality-reduction comparison, but it is less directly interpretable than elastic net because the predictors are rotated into principal components (Jolliffe, 2002).  The recorded Kaggle public/private scores were 0.18220/0.18228.</w:t>
      </w:r>
    </w:p>
    <w:p>
      <w:pPr>
        <w:spacing w:line="480" w:lineRule="auto"/>
        <w:jc w:val="center"/>
      </w:pPr>
      <w:r>
        <w:rPr>
          <w:b/>
          <w:i w:val="0"/>
        </w:rPr>
        <w:t>Assumptions and Evidence</w:t>
      </w:r>
    </w:p>
    <w:p>
      <w:pPr>
        <w:spacing w:line="480" w:lineRule="auto" w:after="0"/>
        <w:ind w:firstLine="720"/>
      </w:pPr>
      <w:r>
        <w:rPr>
          <w:b w:val="0"/>
          <w:i w:val="0"/>
        </w:rPr>
        <w:t>The assumption investigation focused on multicollinearity, residual structure, validation performance, and the competition metric.  The Abalone measures are physically related, so shrinkage is appropriate for the regularized model, while PCR provides a structured way to collapse correlated predictors.  The notebook separates the two Kaggle models, maps each model to its submission file, reports validation RMSLE, and includes Kaggle evidence for both submissions.  The public repository is `https://github.com/maldo81/dds-8555-predictive-analysis`, and the notebook path is `Week 3/Assignment 3/MaldonadoJDDS8555-3.ipynb`.</w:t>
      </w:r>
    </w:p>
    <w:p>
      <w:pPr>
        <w:spacing w:line="480" w:lineRule="auto" w:after="0"/>
        <w:ind w:firstLine="720"/>
      </w:pPr>
      <w:r>
        <w:rPr>
          <w:b w:val="0"/>
          <w:i w:val="0"/>
        </w:rPr>
        <w:t>GitHub/code note: The Python notebook is the code artifact for this assignment and is ready to post with the submission.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Hastie, T., Tibshirani, R., &amp; Friedman, J. (2009).  The elements of statistical learning: Data mining, inference, and prediction (2nd ed.).  Springer. https://doi.org/10.1007/978-0-387-84858-7</w:t>
      </w:r>
    </w:p>
    <w:p>
      <w:pPr>
        <w:spacing w:line="480" w:lineRule="auto"/>
        <w:ind w:left="720" w:hanging="720"/>
      </w:pPr>
      <w:r>
        <w:t>Jolliffe, I.  T. (2002).  Principal component analysis (2nd ed.).  Springer. https://doi.org/10.1007/b98835</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p>
      <w:pPr>
        <w:spacing w:line="480" w:lineRule="auto"/>
        <w:ind w:left="720" w:hanging="720"/>
      </w:pPr>
      <w:r>
        <w:t>Tibshirani, R. (1996).  Regression shrinkage and selection via the lasso.  Journal of the Royal Statistical Society: Series B, 58(1), 267-288. https://doi.org/10.1111/j.2517-6161.1996.tb02080.x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