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Actividad 2. Análisis exploratorio inicial en Python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Reto StayData Lab — base Airbnb price prediction</w:t>
      </w:r>
    </w:p>
    <w:p>
      <w:pPr>
        <w:pBdr>
          <w:bottom w:val="single" w:color="1F4E79" w:sz="6" w:space="5"/>
        </w:pBdr>
        <w:spacing w:after="140"/>
        <w:jc w:val="center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1. Descripción general de la base</w:t>
      </w:r>
    </w:p>
    <w:p>
      <w:pPr>
        <w:spacing w:after="100" w:line="25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El archivo entregado es un libro de Excel con una sola hoja ("in"). Antes de poder analizarlo fue necesario reconstruirlo: el CSV completo viene contenido en una sola columna y los registros que rebasan el límite de 32,767 caracteres por celda se derraman en columnas adicionales. Reconstruidos los registros se obtienen 74,080 filas válidas y 29 columnas —19 registros con comillas mal cerradas quedaron fuera, el 0.03 % del total—, sin identificadores repetidos ni filas idénticas. El archivo original no se modificó en ningún momento: la lectura es de solo lectura y el resultado se almacena aparte en formato Parquet para acelerar las siguientes corridas. La base cubre seis ciudades de Estados Unidos: Nueva York (32,334 anuncios), Los Ángeles (22,443), San Francisco (6,431), Washington D. C. (5,686), Chicago (3,719) y Boston (3,467), con fechas de reseñas entre 2008 y octubre de 2017.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2. Resumen de variables principales</w:t>
      </w:r>
    </w:p>
    <w:p>
      <w:pPr>
        <w:spacing w:after="100" w:line="25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La variable objetivo es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log_price</w:t>
      </w:r>
      <w:r>
        <w:rPr>
          <w:rFonts w:ascii="Calibri" w:cs="Calibri" w:eastAsia="Calibri" w:hAnsi="Calibri"/>
          <w:sz w:val="19"/>
          <w:szCs w:val="19"/>
        </w:rPr>
        <w:t xml:space="preserve">, el logaritmo natural del precio por noche en dólares: media 4.78, mediana 4.71, mínimo 0 y máximo 7.60. Reexpresada en escala original, la mediana es de USD 111 por noche, el rango intercuartílico va de USD 75 a USD 185, el 90 % central se ubica entre USD 40 y USD 425, y el máximo es exactamente USD 1,999. Entre las numéricas, accommodates tiene mediana 2 y máximo 16; bathrooms, bedrooms y beds tienen mediana 1; number_of_reviews tiene mediana 6 y máximo 605; y review_scores_rating promedia 94.1 con mediana 96, aunque solo está disponible para 57,366 anuncios. Entre las categóricas, room_type distingue Entire home/apt (41,299), Private room (30,621) y Shared room (2,160); property_type tiene 35 niveles dominados por Apartment (66 %); cancellation_policy concentra 32,363 anuncios en "strict"; bed_type es casi constante (97.2 % "Real Bed"); cleaning_fee es verdadero en 54,385 anuncios; instant_bookable solo en 19,440 (26 %); y neighbourhood alcanza 619 niveles distintos.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3. Hallazgos exploratorios iniciales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sz w:val="18"/>
          <w:szCs w:val="18"/>
        </w:rPr>
        <w:t xml:space="preserve">El precio en dólares está fuertemente sesgado a la derecha, mientras que log_price se aproxima a una distribución simétrica: esto respalda la decisión de la base de entregar el precio en escala logarítmica.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sz w:val="18"/>
          <w:szCs w:val="18"/>
        </w:rPr>
        <w:t xml:space="preserve">Las variables de tamaño son las más asociadas al precio. La correlación de Spearman con log_price es de 0.589 para accommodates, 0.481 para beds, 0.408 para bedrooms y 0.283 para bathrooms.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sz w:val="18"/>
          <w:szCs w:val="18"/>
        </w:rPr>
        <w:t xml:space="preserve">Las variables de reseñas muestran una asociación casi nula: 0.085 para review_scores_rating y −0.033 para number_of_reviews. El precio mediano sube de USD 98 en calificaciones de 80 o menos a USD 119 en las de 95 o más, pero el 47.4 % de los anuncios ya está en 95 o más, por lo que la variable discrimina poco.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sz w:val="18"/>
          <w:szCs w:val="18"/>
        </w:rPr>
        <w:t xml:space="preserve">Por tipo de espacio, el precio mediano es de USD 160 en propiedad completa, USD 75 en habitación privada y USD 45 en habitación compartida.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sz w:val="18"/>
          <w:szCs w:val="18"/>
        </w:rPr>
        <w:t xml:space="preserve">Por ciudad, el precio mediano va de USD 99 en Chicago y USD 100 en Los Ángeles a USD 165 en San Francisco, con Boston (USD 136), Washington D. C. (USD 125) y Nueva York (USD 105) en posiciones intermedias.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sz w:val="18"/>
          <w:szCs w:val="18"/>
        </w:rPr>
        <w:t xml:space="preserve">Dentro de Nueva York, y considerando solo barrios con al menos 100 anuncios, el precio mediano va de USD 55 en Elmhurst a USD 250 en Tribeca: la variación dentro de una misma ciudad es mayor que la variación entre ciudades.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sz w:val="18"/>
          <w:szCs w:val="18"/>
        </w:rPr>
        <w:t xml:space="preserve">Las políticas y cargos también se mueven con el precio: mediana de USD 129 con cancelación estricta frente a USD 99 con política flexible, y USD 120 cuando se cobra tarifa de limpieza frente a USD 95 cuando no. La reserva inmediata muestra una diferencia menor y en sentido inverso (USD 105 frente a USD 115).</w:t>
      </w:r>
    </w:p>
    <w:p>
      <w:pPr>
        <w:spacing w:after="100" w:line="250"/>
        <w:jc w:val="both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Todas estas comparaciones son descriptivas y no controlan por otras variables; ninguna debe leerse todavía como un efecto sobre el precio.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4. Anomalías y problemas detectados</w:t>
      </w:r>
    </w:p>
    <w:p>
      <w:pPr>
        <w:spacing w:after="80" w:line="25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Se ejecutaron siete reglas de calidad automatizadas. Ninguna modifica la base: solo documentan el problema y el tratamiento propuesto para la Actividad 3.</w:t>
      </w:r>
    </w:p>
    <w:tbl>
      <w:tblPr>
        <w:tblW w:type="dxa" w:w="9930"/>
        <w:tblBorders>
          <w:top w:val="single" w:color="B7C9DC" w:sz="2"/>
          <w:left w:val="single" w:color="B7C9DC" w:sz="2"/>
          <w:bottom w:val="single" w:color="B7C9DC" w:sz="2"/>
          <w:right w:val="single" w:color="B7C9DC" w:sz="2"/>
          <w:insideH w:val="single" w:color="B7C9DC" w:sz="2"/>
          <w:insideV w:val="single" w:color="B7C9DC" w:sz="2"/>
        </w:tblBorders>
      </w:tblPr>
      <w:tblGrid>
        <w:gridCol w:w="1900"/>
        <w:gridCol w:w="2400"/>
        <w:gridCol w:w="3130"/>
        <w:gridCol w:w="250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Problema</w:t>
            </w:r>
          </w:p>
        </w:tc>
        <w:tc>
          <w:tcPr>
            <w:tcW w:type="dxa" w:w="2400"/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Variables</w:t>
            </w:r>
          </w:p>
        </w:tc>
        <w:tc>
          <w:tcPr>
            <w:tcW w:type="dxa" w:w="3130"/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Observado</w:t>
            </w:r>
          </w:p>
        </w:tc>
        <w:tc>
          <w:tcPr>
            <w:tcW w:type="dxa" w:w="2500"/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Tratamiento propuesto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Estructura del archivo</w:t>
            </w:r>
          </w:p>
        </w:tc>
        <w:tc>
          <w:tcPr>
            <w:tcW w:type="dxa" w:w="24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Todas</w:t>
            </w:r>
          </w:p>
        </w:tc>
        <w:tc>
          <w:tcPr>
            <w:tcW w:type="dxa" w:w="313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El CSV viene dentro de una sola columna de Excel y los registros largos se derraman en columnas extra; 19 registros (0.03 %) tienen comillas mal cerradas y se omiten</w:t>
            </w:r>
          </w:p>
        </w:tc>
        <w:tc>
          <w:tcPr>
            <w:tcW w:type="dxa" w:w="25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Reconstruir el registro por fila antes de analizar; documentar los omitidos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Faltantes altos</w:t>
            </w:r>
          </w:p>
        </w:tc>
        <w:tc>
          <w:tcPr>
            <w:tcW w:type="dxa" w:w="24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host_response_rate (24.7 %), review_scores_rating (22.6 %), first_review y last_review (21.4 %)</w:t>
            </w:r>
          </w:p>
        </w:tc>
        <w:tc>
          <w:tcPr>
            <w:tcW w:type="dxa" w:w="313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Coinciden con los 15,811 anuncios que no han recibido ninguna reseña</w:t>
            </w:r>
          </w:p>
        </w:tc>
        <w:tc>
          <w:tcPr>
            <w:tcW w:type="dxa" w:w="25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Bandera "sin reseñas" e imputación aparte; no eliminar filas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Faltantes moderados</w:t>
            </w:r>
          </w:p>
        </w:tc>
        <w:tc>
          <w:tcPr>
            <w:tcW w:type="dxa" w:w="24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thumbnail_url (11.1 %), neighbourhood (9.3 %), zipcode (1.3 %), bathrooms, bedrooms, beds y campos de anfitrión (&lt; 0.3 %)</w:t>
            </w:r>
          </w:p>
        </w:tc>
        <w:tc>
          <w:tcPr>
            <w:tcW w:type="dxa" w:w="313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El faltante de neighbourhood se concentra en Los Ángeles</w:t>
            </w:r>
          </w:p>
        </w:tc>
        <w:tc>
          <w:tcPr>
            <w:tcW w:type="dxa" w:w="25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Categoría "Desconocido" en texto y mediana por ciudad en numéricas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Precios extremos y posible censura</w:t>
            </w:r>
          </w:p>
        </w:tc>
        <w:tc>
          <w:tcPr>
            <w:tcW w:type="dxa" w:w="24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log_price</w:t>
            </w:r>
          </w:p>
        </w:tc>
        <w:tc>
          <w:tcPr>
            <w:tcW w:type="dxa" w:w="313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160 anuncios de USD 20 o menos (mínimo USD 1), 668 de USD 1,000 o más, máximo exacto de USD 1,999 y 537 con menos de USD 10 por huésped</w:t>
            </w:r>
          </w:p>
        </w:tc>
        <w:tc>
          <w:tcPr>
            <w:tcW w:type="dxa" w:w="25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Revisar ambas colas, documentar el tope y evaluar acotar los percentiles 1 y 99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Ceros ambiguos</w:t>
            </w:r>
          </w:p>
        </w:tc>
        <w:tc>
          <w:tcPr>
            <w:tcW w:type="dxa" w:w="24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bedrooms (6,713), bathrooms (198), beds (4)</w:t>
            </w:r>
          </w:p>
        </w:tc>
        <w:tc>
          <w:tcPr>
            <w:tcW w:type="dxa" w:w="313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bedrooms = 0 corresponde a estudios; los ceros en bathrooms y beds son dudosos</w:t>
            </w:r>
          </w:p>
        </w:tc>
        <w:tc>
          <w:tcPr>
            <w:tcW w:type="dxa" w:w="25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Marcar estudios con bandera y revisar los otros ceros caso por caso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Formatos inconsistentes</w:t>
            </w:r>
          </w:p>
        </w:tc>
        <w:tc>
          <w:tcPr>
            <w:tcW w:type="dxa" w:w="24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zipcode, host_response_rate, cleaning_fee</w:t>
            </w:r>
          </w:p>
        </w:tc>
        <w:tc>
          <w:tcPr>
            <w:tcW w:type="dxa" w:w="313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8,875 códigos postales con formato "94117.0"; la tasa de respuesta conserva el signo "%"; cleaning_fee usa True/False y el resto de booleanas t/f</w:t>
            </w:r>
          </w:p>
        </w:tc>
        <w:tc>
          <w:tcPr>
            <w:tcW w:type="dxa" w:w="25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Normalizar a cinco dígitos, convertir a decimal y unificar booleanas a 0/1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Alta cardinalidad</w:t>
            </w:r>
          </w:p>
        </w:tc>
        <w:tc>
          <w:tcPr>
            <w:tcW w:type="dxa" w:w="24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neighbourhood (619), zipcode (767), property_type (35)</w:t>
            </w:r>
          </w:p>
        </w:tc>
        <w:tc>
          <w:tcPr>
            <w:tcW w:type="dxa" w:w="313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Una codificación uno-a-uno generaría cientos de columnas</w:t>
            </w:r>
          </w:p>
        </w:tc>
        <w:tc>
          <w:tcPr>
            <w:tcW w:type="dxa" w:w="25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Agrupar niveles raros en "Otros" y codificar por frecuencia dentro de cada ciudad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Texto sin estructura</w:t>
            </w:r>
          </w:p>
        </w:tc>
        <w:tc>
          <w:tcPr>
            <w:tcW w:type="dxa" w:w="24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amenities, description, name</w:t>
            </w:r>
          </w:p>
        </w:tc>
        <w:tc>
          <w:tcPr>
            <w:tcW w:type="dxa" w:w="313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amenities tiene 17.6 elementos en promedio y 585 listas vacías</w:t>
            </w:r>
          </w:p>
        </w:tc>
        <w:tc>
          <w:tcPr>
            <w:tcW w:type="dxa" w:w="25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Convertir los servicios más frecuentes en indicadores binarios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Duplicados</w:t>
            </w:r>
          </w:p>
        </w:tc>
        <w:tc>
          <w:tcPr>
            <w:tcW w:type="dxa" w:w="24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id y registros completos</w:t>
            </w:r>
          </w:p>
        </w:tc>
        <w:tc>
          <w:tcPr>
            <w:tcW w:type="dxa" w:w="313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0 identificadores repetidos y 0 filas idénticas</w:t>
            </w:r>
          </w:p>
        </w:tc>
        <w:tc>
          <w:tcPr>
            <w:tcW w:type="dxa" w:w="25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4"/>
                <w:szCs w:val="14"/>
              </w:rPr>
              <w:t xml:space="preserve">Sin acción; revisar de nuevo tras la limpieza</w:t>
            </w:r>
          </w:p>
        </w:tc>
      </w:tr>
    </w:tbl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5. Interpretación de las visualizaciones</w:t>
      </w:r>
    </w:p>
    <w:p>
      <w:pPr>
        <w:spacing w:after="100" w:line="25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Figura 1 · Distribución del precio y de log_price. </w:t>
      </w:r>
      <w:r>
        <w:rPr>
          <w:rFonts w:ascii="Calibri" w:cs="Calibri" w:eastAsia="Calibri" w:hAnsi="Calibri"/>
          <w:sz w:val="19"/>
          <w:szCs w:val="19"/>
        </w:rPr>
        <w:t xml:space="preserve">Muestra una cola derecha larga en dólares, con la mayoría de los anuncios concentrados entre USD 50 y USD 200 y una mediana de USD 111, frente a una distribución casi simétrica en escala logarítmica. Sugiere que el logaritmo es la escala adecuada para trabajar. Precaución: el histograma en dólares está recortado en el percentil 99 para poder verse, así que oculta visualmente los 668 anuncios de USD 1,000 o más que sí siguen en la base.</w:t>
      </w:r>
    </w:p>
    <w:p>
      <w:pPr>
        <w:spacing w:after="100" w:line="25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Figura 2 · Precio por tipo de espacio. </w:t>
      </w:r>
      <w:r>
        <w:rPr>
          <w:rFonts w:ascii="Calibri" w:cs="Calibri" w:eastAsia="Calibri" w:hAnsi="Calibri"/>
          <w:sz w:val="19"/>
          <w:szCs w:val="19"/>
        </w:rPr>
        <w:t xml:space="preserve">Las tres medianas están claramente separadas (USD 160, 75 y 45) y las cajas apenas se traslapan entre propiedad completa y habitación privada. Sugiere que room_type ordena el mercado en tres niveles de precio. Precaución: la habitación compartida solo tiene 2,160 anuncios frente a 41,299 de propiedad completa, y la comparación no controla por capacidad ni por ciudad.</w:t>
      </w:r>
    </w:p>
    <w:p>
      <w:pPr>
        <w:spacing w:after="100" w:line="25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Figura 3 · Precio mediano por capacidad y tipo de espacio. </w:t>
      </w:r>
      <w:r>
        <w:rPr>
          <w:rFonts w:ascii="Calibri" w:cs="Calibri" w:eastAsia="Calibri" w:hAnsi="Calibri"/>
          <w:sz w:val="19"/>
          <w:szCs w:val="19"/>
        </w:rPr>
        <w:t xml:space="preserve">El precio mediano crece de forma sostenida con accommodates en propiedad completa (de USD 110 a USD 360), con una pendiente más plana en habitación privada y prácticamente nula en habitación compartida. Sugiere que el efecto de la capacidad depende del tipo de espacio. Precaución: solo se grafican grupos con al menos 30 anuncios; los tamaños grandes en habitaciones privadas y compartidas son escasos y su mediana es inestable.</w:t>
      </w:r>
    </w:p>
    <w:p>
      <w:pPr>
        <w:spacing w:after="100" w:line="25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Figura 4 · Precio mediano por ciudad. </w:t>
      </w:r>
      <w:r>
        <w:rPr>
          <w:rFonts w:ascii="Calibri" w:cs="Calibri" w:eastAsia="Calibri" w:hAnsi="Calibri"/>
          <w:sz w:val="19"/>
          <w:szCs w:val="19"/>
        </w:rPr>
        <w:t xml:space="preserve">San Francisco encabeza con USD 165 y Chicago cierra con USD 99, una diferencia de 1.7 veces entre extremos. Sugiere que la ciudad es una variable de control necesaria. Precaución: el volumen es muy desigual —Nueva York aporta el 44 % de los anuncios y Boston menos del 5 %—, y la mediana de una ciudad mezcla barrios muy distintos entre sí.</w:t>
      </w:r>
    </w:p>
    <w:p>
      <w:pPr>
        <w:spacing w:after="100" w:line="25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Figura 5 · Valores faltantes por variable. </w:t>
      </w:r>
      <w:r>
        <w:rPr>
          <w:rFonts w:ascii="Calibri" w:cs="Calibri" w:eastAsia="Calibri" w:hAnsi="Calibri"/>
          <w:sz w:val="19"/>
          <w:szCs w:val="19"/>
        </w:rPr>
        <w:t xml:space="preserve">Cuatro variables superan el 21 % de faltantes y todas pertenecen al bloque de reseñas y respuesta del anfitrión. Sugiere que el faltante no es aleatorio, sino que identifica a los anuncios sin actividad. Precaución: imputar esas variables con la media introduciría anuncios "con reseñas" que no existen; el faltante debe conservarse como información.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6. Relación con las preguntas analíticas de la Actividad 1</w:t>
      </w:r>
    </w:p>
    <w:tbl>
      <w:tblPr>
        <w:tblW w:type="dxa" w:w="9930"/>
        <w:tblBorders>
          <w:top w:val="single" w:color="B7C9DC" w:sz="2"/>
          <w:left w:val="single" w:color="B7C9DC" w:sz="2"/>
          <w:bottom w:val="single" w:color="B7C9DC" w:sz="2"/>
          <w:right w:val="single" w:color="B7C9DC" w:sz="2"/>
          <w:insideH w:val="single" w:color="B7C9DC" w:sz="2"/>
          <w:insideV w:val="single" w:color="B7C9DC" w:sz="2"/>
        </w:tblBorders>
      </w:tblPr>
      <w:tblGrid>
        <w:gridCol w:w="2600"/>
        <w:gridCol w:w="4300"/>
        <w:gridCol w:w="303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Pregunta inicial</w:t>
            </w:r>
          </w:p>
        </w:tc>
        <w:tc>
          <w:tcPr>
            <w:tcW w:type="dxa" w:w="4300"/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se observó en esta etapa</w:t>
            </w:r>
          </w:p>
        </w:tc>
        <w:tc>
          <w:tcPr>
            <w:tcW w:type="dxa" w:w="3030"/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falta preparar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Distribución del precio entre ciudades</w:t>
            </w:r>
          </w:p>
        </w:tc>
        <w:tc>
          <w:tcPr>
            <w:tcW w:type="dxa" w:w="43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Medianas de USD 99 a USD 165; la ciudad separa niveles de precio pero no explica la dispersión interna</w:t>
            </w:r>
          </w:p>
        </w:tc>
        <w:tc>
          <w:tcPr>
            <w:tcW w:type="dxa" w:w="303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Descomponer la varianza dentro y entre ciudades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Diferencia por room_type controlando capacidad</w:t>
            </w:r>
          </w:p>
        </w:tc>
        <w:tc>
          <w:tcPr>
            <w:tcW w:type="dxa" w:w="43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Las tres medianas se separan y la brecha se mantiene al abrir por accommodates (Figura 3)</w:t>
            </w:r>
          </w:p>
        </w:tc>
        <w:tc>
          <w:tcPr>
            <w:tcW w:type="dxa" w:w="303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Contrastar formalmente con capacidad y ciudad fijas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Relación entre capacidad, tamaño y precio</w:t>
            </w:r>
          </w:p>
        </w:tc>
        <w:tc>
          <w:tcPr>
            <w:tcW w:type="dxa" w:w="43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Es la asociación más fuerte encontrada (Spearman 0.589 con accommodates)</w:t>
            </w:r>
          </w:p>
        </w:tc>
        <w:tc>
          <w:tcPr>
            <w:tcW w:type="dxa" w:w="303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Revisar rendimientos decrecientes y tratar bedrooms = 0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Papel de las reseñas y la calificación</w:t>
            </w:r>
          </w:p>
        </w:tc>
        <w:tc>
          <w:tcPr>
            <w:tcW w:type="dxa" w:w="43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Asociación casi nula y calificación muy concentrada (47.4 % en 95 o más)</w:t>
            </w:r>
          </w:p>
        </w:tc>
        <w:tc>
          <w:tcPr>
            <w:tcW w:type="dxa" w:w="303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Definir el tratamiento de los 15,811 anuncios sin reseñas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Barrios y zonas dentro de cada ciudad</w:t>
            </w:r>
          </w:p>
        </w:tc>
        <w:tc>
          <w:tcPr>
            <w:tcW w:type="dxa" w:w="430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En Nueva York el rango va de USD 55 a USD 250 entre barrios comparables</w:t>
            </w:r>
          </w:p>
        </w:tc>
        <w:tc>
          <w:tcPr>
            <w:tcW w:type="dxa" w:w="3030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Agrupar los 619 barrios y normalizar zipcode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Políticas, reserva inmediata y amenities</w:t>
            </w:r>
          </w:p>
        </w:tc>
        <w:tc>
          <w:tcPr>
            <w:tcW w:type="dxa" w:w="430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Diferencias visibles por cancellation_policy y cleaning_fee; amenities aún sin explotar</w:t>
            </w:r>
          </w:p>
        </w:tc>
        <w:tc>
          <w:tcPr>
            <w:tcW w:type="dxa" w:w="3030"/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0"/>
              <w:jc w:val="left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Extraer los servicios frecuentes como variables binarias</w:t>
            </w:r>
          </w:p>
        </w:tc>
      </w:tr>
    </w:tbl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7. Ejecución del archivo técnico y repositorio</w:t>
      </w:r>
    </w:p>
    <w:p>
      <w:pPr>
        <w:spacing w:after="100" w:line="25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El proyecto está organizado en capas (dominio, aplicación e infraestructura) con inyección de dependencias en un único punto de composición; los comentarios y docstrings están en inglés. Para reproducirlo basta colocar el archivo original en data/raw/airbnb_price_prediction.xlsx y ejecutar, dentro del contenedor, "docker compose run --rm eda" para el análisis completo o "docker compose up lab" para abrir el notebook en el puerto 8888. Sin Docker: instalar requirements.txt, definir PYTHONPATH=src y ejecutar "python -m staydata_eda.main" o abrir notebooks/01_exploratory_analysis.ipynb. Las pruebas unitarias se corren con "pytest tests -q". El notebook se ejecuta de inicio a fin sin errores y escribe las cinco figuras en reports/figures/.</w:t>
      </w:r>
    </w:p>
    <w:p>
      <w:pPr>
        <w:spacing w:after="100" w:line="25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Repositorio: </w:t>
      </w:r>
      <w:r>
        <w:rPr>
          <w:rFonts w:ascii="Calibri" w:cs="Calibri" w:eastAsia="Calibri" w:hAnsi="Calibri"/>
          <w:sz w:val="19"/>
          <w:szCs w:val="19"/>
        </w:rPr>
        <w:t xml:space="preserve">https://github.com/&lt;usuario&gt;/staydata-airbnb-eda  (sustituir por la URL propia tras el push; el historial sigue Conventional Commits).</w:t>
      </w:r>
    </w:p>
    <w:sectPr>
      <w:pgSz w:w="12240" w:h="15840" w:orient="portrait"/>
      <w:pgMar w:top="900" w:right="1155" w:bottom="900" w:left="115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2026-09-05T17:45:48.291Z</dcterms:created>
  <dcterms:modified xsi:type="dcterms:W3CDTF">2026-09-05T17:45:48.307Z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