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软件说明书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一、项目立项引言</w:t>
      </w:r>
    </w:p>
    <w:p>
      <w:r>
        <w:t xml:space="preserve"/>
      </w:r>
    </w:p>
    <w:p>
      <w:r>
        <w:rPr>
          <w:sz w:val="20"/>
          <w:szCs w:val="20"/>
        </w:rPr>
        <w:t xml:space="preserve">### 1.1 开发背景</w:t>
      </w:r>
    </w:p>
    <w:p>
      <w:r>
        <w:rPr>
          <w:sz w:val="20"/>
          <w:szCs w:val="20"/>
        </w:rPr>
        <w:t xml:space="preserve">独立桌面应用：扫描本地项目代码，生成软件著作权申请常用的源代码清单、软件说明书与申请表格信息。</w:t>
      </w:r>
    </w:p>
    <w:p>
      <w:r>
        <w:rPr>
          <w:sz w:val="20"/>
          <w:szCs w:val="20"/>
        </w:rPr>
        <w:t xml:space="preserve">### 1.2 软件目标</w:t>
      </w:r>
    </w:p>
    <w:p>
      <w:r>
        <w:rPr>
          <w:sz w:val="20"/>
          <w:szCs w:val="20"/>
        </w:rPr>
        <w:t xml:space="preserve">基于 React 现代前端单页 Web 应用 的运行体系，提供稳定、完整的工业级功能逻辑管理方案，协助开展参数校验及流控状态分析工作。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二、软件主体功能概述</w:t>
      </w:r>
    </w:p>
    <w:p>
      <w:r>
        <w:t xml:space="preserve"/>
      </w:r>
    </w:p>
    <w:p>
      <w:r>
        <w:rPr>
          <w:sz w:val="20"/>
          <w:szCs w:val="20"/>
        </w:rPr>
        <w:t xml:space="preserve">### 2.1 主要功能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apps/desktop/src/renderer/App.tsx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apps/desktop/src/shared/api.ts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apps/desktop/src/renderer/components/CopyrightPanel.tsx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apps/desktop/src/renderer/styles/copyright-panel.css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apps/desktop/src/renderer/components/CopyrightView.tsx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apps/desktop/src/renderer/components/PaymentModal.tsx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2.2 技术架构</w:t>
      </w:r>
    </w:p>
    <w:p>
      <w:r>
        <w:rPr>
          <w:sz w:val="20"/>
          <w:szCs w:val="20"/>
        </w:rPr>
        <w:t xml:space="preserve">基于组件化声明渲染、虚拟 DOM 与单向数据流的前端技术架构。</w:t>
      </w:r>
    </w:p>
    <w:p>
      <w:r>
        <w:rPr>
          <w:sz w:val="20"/>
          <w:szCs w:val="20"/>
        </w:rPr>
        <w:t xml:space="preserve">### 2.3 核心功能模块划分</w:t>
      </w:r>
    </w:p>
    <w:p>
      <w:r>
        <w:rPr>
          <w:sz w:val="20"/>
          <w:szCs w:val="20"/>
        </w:rPr>
        <w:t xml:space="preserve">根据系统源代码的物理存储以及 CodeIntel 依赖流分析，软件主要分为以下功能模块：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`apps/`</w:t>
            </w:r>
          </w:p>
        </w:tc>
        <w:tc>
          <w:p>
            <w:r>
              <w:rPr>
                <w:sz w:val="18"/>
                <w:szCs w:val="18"/>
              </w:rPr>
              <w:t xml:space="preserve">存放该业务板块的核心处理代码与辅助方法。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2.3 开发环境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开发语言</w:t>
            </w:r>
          </w:p>
        </w:tc>
        <w:tc>
          <w:p>
            <w:r>
              <w:rPr>
                <w:sz w:val="18"/>
                <w:szCs w:val="18"/>
              </w:rPr>
              <w:t xml:space="preserve">tsx, ts, css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框架版本</w:t>
            </w:r>
          </w:p>
        </w:tc>
        <w:tc>
          <w:p>
            <w:r>
              <w:rPr>
                <w:sz w:val="18"/>
                <w:szCs w:val="18"/>
              </w:rPr>
              <w:t xml:space="preserve">系统底层原生框架开发包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本地轻量级数据库 / 本地文件安全持久化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三、软件运行部署环境</w:t>
      </w:r>
    </w:p>
    <w:p>
      <w:r>
        <w:t xml:space="preserve"/>
      </w:r>
    </w:p>
    <w:p>
      <w:r>
        <w:rPr>
          <w:sz w:val="20"/>
          <w:szCs w:val="20"/>
        </w:rPr>
        <w:t xml:space="preserve">### 3.1 硬件环境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处理器</w:t>
            </w:r>
          </w:p>
        </w:tc>
        <w:tc>
          <w:p>
            <w:r>
              <w:rPr>
                <w:sz w:val="18"/>
                <w:szCs w:val="18"/>
              </w:rPr>
              <w:t xml:space="preserve">双核 2.0GHz 或更高主频处理器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内存</w:t>
            </w:r>
          </w:p>
        </w:tc>
        <w:tc>
          <w:p>
            <w:r>
              <w:rPr>
                <w:sz w:val="18"/>
                <w:szCs w:val="18"/>
              </w:rPr>
              <w:t xml:space="preserve">8GB 或以上系统内存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硬盘空间</w:t>
            </w:r>
          </w:p>
        </w:tc>
        <w:tc>
          <w:p>
            <w:r>
              <w:rPr>
                <w:sz w:val="18"/>
                <w:szCs w:val="18"/>
              </w:rPr>
              <w:t xml:space="preserve">10GB 以上空闲存储空间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3.2 软件环境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操作系统</w:t>
            </w:r>
          </w:p>
        </w:tc>
        <w:tc>
          <w:p>
            <w:r>
              <w:rPr>
                <w:sz w:val="18"/>
                <w:szCs w:val="18"/>
              </w:rPr>
              <w:t xml:space="preserve">Windows 10/11, macOS, Linux 现代主流操作系统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运行时</w:t>
            </w:r>
          </w:p>
        </w:tc>
        <w:tc>
          <w:p>
            <w:r>
              <w:rPr>
                <w:sz w:val="18"/>
                <w:szCs w:val="18"/>
              </w:rPr>
              <w:t xml:space="preserve">Node.js v18+ 运行时环境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依赖组件</w:t>
            </w:r>
          </w:p>
        </w:tc>
        <w:tc>
          <w:p>
            <w:r>
              <w:rPr>
                <w:sz w:val="18"/>
                <w:szCs w:val="18"/>
              </w:rPr>
              <w:t xml:space="preserve">系统基础开发环境与语言标准库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四、软件用户操作流</w:t>
      </w:r>
    </w:p>
    <w:p>
      <w:r>
        <w:t xml:space="preserve"/>
      </w:r>
    </w:p>
    <w:p>
      <w:r>
        <w:rPr>
          <w:sz w:val="20"/>
          <w:szCs w:val="20"/>
        </w:rPr>
        <w:t xml:space="preserve">### 4.1 安装步骤</w:t>
      </w:r>
    </w:p>
    <w:p>
      <w:r>
        <w:rPr>
          <w:sz w:val="20"/>
          <w:szCs w:val="20"/>
        </w:rPr>
        <w:t xml:space="preserve">1. 解压软件发布包至目标部署目录；</w:t>
      </w:r>
    </w:p>
    <w:p>
      <w:r>
        <w:rPr>
          <w:sz w:val="20"/>
          <w:szCs w:val="20"/>
        </w:rPr>
        <w:t xml:space="preserve">2. 检查安装环境中所需的系统运行时依赖包是否已正确就绪。</w:t>
      </w:r>
    </w:p>
    <w:p>
      <w:r>
        <w:rPr>
          <w:sz w:val="20"/>
          <w:szCs w:val="20"/>
        </w:rPr>
        <w:t xml:space="preserve">### 4.2 操作流程</w:t>
      </w:r>
    </w:p>
    <w:p>
      <w:r>
        <w:rPr>
          <w:sz w:val="20"/>
          <w:szCs w:val="20"/>
        </w:rPr>
        <w:t xml:space="preserve">1. 启动本软件运行程序进入工作主界面</w:t>
      </w:r>
    </w:p>
    <w:p>
      <w:r>
        <w:rPr>
          <w:sz w:val="20"/>
          <w:szCs w:val="20"/>
        </w:rPr>
        <w:t xml:space="preserve">2. 选定对应的项目工作文件夹以供分析</w:t>
      </w:r>
    </w:p>
    <w:p>
      <w:r>
        <w:rPr>
          <w:sz w:val="20"/>
          <w:szCs w:val="20"/>
        </w:rPr>
        <w:t xml:space="preserve">3. 填写所需的自定义配置及相关控制参数</w:t>
      </w:r>
    </w:p>
    <w:p>
      <w:r>
        <w:rPr>
          <w:sz w:val="20"/>
          <w:szCs w:val="20"/>
        </w:rPr>
        <w:t xml:space="preserve">4. 点击执行功能按钮，稍等数秒即可在相应目录生成并预览所需产物</w:t>
      </w:r>
    </w:p>
    <w:p>
      <w:r>
        <w:rPr>
          <w:sz w:val="20"/>
          <w:szCs w:val="20"/>
        </w:rPr>
        <w:t xml:space="preserve">### 4.3 界面介绍</w:t>
      </w:r>
    </w:p>
    <w:p>
      <w:r>
        <w:rPr>
          <w:sz w:val="20"/>
          <w:szCs w:val="20"/>
        </w:rPr>
        <w:t xml:space="preserve">本软件的界面设计整洁大方。顶部主要包含系统主菜单与工作空间信息，左侧包含配置控制栏与状态处理，右侧为核心的文本预览、格式输出与任务状态展示区域。用户点击对应功能按钮即可触发数据处理与生成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五、关键技术与创新特性</w:t>
      </w:r>
    </w:p>
    <w:p>
      <w:r>
        <w:t xml:space="preserve"/>
      </w:r>
    </w:p>
    <w:p>
      <w:r>
        <w:rPr>
          <w:sz w:val="20"/>
          <w:szCs w:val="20"/>
        </w:rPr>
        <w:t xml:space="preserve">### 5.1 创新点</w:t>
      </w:r>
    </w:p>
    <w:p>
      <w:r>
        <w:rPr>
          <w:sz w:val="20"/>
          <w:szCs w:val="20"/>
        </w:rPr>
        <w:t xml:space="preserve">1. 采用高内聚、低耦合的分层架构设计，极大提高了系统模块的可维护性与后续扩展性</w:t>
      </w:r>
    </w:p>
    <w:p>
      <w:r>
        <w:rPr>
          <w:sz w:val="20"/>
          <w:szCs w:val="20"/>
        </w:rPr>
        <w:t xml:space="preserve">2. 具备完善的异常捕获与管道数据容错机制，确保核心业务在极端输入下的稳定运行</w:t>
      </w:r>
    </w:p>
    <w:p>
      <w:r>
        <w:rPr>
          <w:sz w:val="20"/>
          <w:szCs w:val="20"/>
        </w:rPr>
        <w:t xml:space="preserve">### 5.2 技术优势</w:t>
      </w:r>
    </w:p>
    <w:p>
      <w:r>
        <w:rPr>
          <w:sz w:val="20"/>
          <w:szCs w:val="20"/>
        </w:rPr>
        <w:t xml:space="preserve">1. 模块边界清晰，代码可重用度高，极其便于进行二次开发和维护。</w:t>
      </w:r>
    </w:p>
    <w:p>
      <w:r>
        <w:rPr>
          <w:sz w:val="20"/>
          <w:szCs w:val="20"/>
        </w:rPr>
        <w:t xml:space="preserve">2. 核心分析模块使用无状态设计，对本地磁盘资源与 CPU 的开销极低，响应迅速。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六、总结</w:t>
      </w:r>
    </w:p>
    <w:p>
      <w:r>
        <w:t xml:space="preserve"/>
      </w:r>
    </w:p>
    <w:p>
      <w:r>
        <w:rPr>
          <w:sz w:val="20"/>
          <w:szCs w:val="20"/>
        </w:rPr>
        <w:t xml:space="preserve">本软件已完成核心业务的逻辑验证与应用上线，经测试系统在各种输入场景下均能稳定响应，完全达到系统设计预期的各项技术指标。</w:t>
      </w:r>
    </w:p>
    <w:p>
      <w:r>
        <w:rPr>
          <w:sz w:val="20"/>
          <w:szCs w:val="20"/>
        </w:rPr>
        <w:t xml:space="preserve">软件名称：AI软著助手</w:t>
      </w:r>
    </w:p>
    <w:p>
      <w:r>
        <w:rPr>
          <w:sz w:val="20"/>
          <w:szCs w:val="20"/>
        </w:rPr>
        <w:t xml:space="preserve">版本：1.0.0</w:t>
      </w:r>
    </w:p>
    <w:p>
      <w:r>
        <w:rPr>
          <w:sz w:val="20"/>
          <w:szCs w:val="20"/>
        </w:rPr>
        <w:t xml:space="preserve">完成日期：2026年6月5日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1"/>
        <w:szCs w:val="21"/>
      </w:rPr>
      <w:t xml:space="preserve">第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 共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000000"/>
        <w:sz w:val="21"/>
        <w:szCs w:val="21"/>
      </w:rPr>
      <w:t xml:space="preserve">AI软著助手 V系统底层原生框架开发包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2026-06-05T14:29:55.872Z</dcterms:created>
  <dcterms:modified xsi:type="dcterms:W3CDTF">2026-06-05T14:29:55.872Z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