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B2A4A"/>
          <w:sz w:val="68"/>
          <w:szCs w:val="68"/>
        </w:rPr>
        <w:t xml:space="preserve">AgentPost</w:t>
      </w:r>
    </w:p>
    <w:p>
      <w:pPr>
        <w:spacing w:after="60" w:before="160"/>
        <w:jc w:val="center"/>
      </w:pPr>
      <w:r>
        <w:rPr>
          <w:b/>
          <w:bCs/>
          <w:color w:val="2E6F6E"/>
          <w:sz w:val="30"/>
          <w:szCs w:val="30"/>
        </w:rPr>
        <w:t xml:space="preserve">Global Market Opportunity, Competitive Landscape</w:t>
      </w:r>
    </w:p>
    <w:p>
      <w:pPr>
        <w:spacing w:after="500"/>
        <w:jc w:val="center"/>
      </w:pPr>
      <w:r>
        <w:rPr>
          <w:b/>
          <w:bCs/>
          <w:color w:val="2E6F6E"/>
          <w:sz w:val="30"/>
          <w:szCs w:val="30"/>
        </w:rPr>
        <w:t xml:space="preserve">&amp; Go-To-Market Strategy Addendum</w:t>
      </w:r>
    </w:p>
    <w:p>
      <w:pPr>
        <w:spacing w:after="60"/>
        <w:jc w:val="center"/>
      </w:pPr>
      <w:r>
        <w:rPr>
          <w:color w:val="5B6470"/>
          <w:sz w:val="21"/>
          <w:szCs w:val="21"/>
        </w:rPr>
        <w:t xml:space="preserve">Prepared as an addendum to the AgentPost Business Plan</w:t>
      </w:r>
    </w:p>
    <w:p>
      <w:pPr>
        <w:jc w:val="center"/>
      </w:pPr>
      <w:r>
        <w:rPr>
          <w:color w:val="5B6470"/>
          <w:sz w:val="21"/>
          <w:szCs w:val="21"/>
        </w:rPr>
        <w:t xml:space="preserve">August 2026</w:t>
      </w:r>
    </w:p>
    <w:p>
      <w:r>
        <w:br w:type="page"/>
      </w:r>
    </w:p>
    <w:p>
      <w:pPr>
        <w:pStyle w:val="Heading1"/>
        <w:pBdr>
          <w:bottom w:val="single" w:color="2E6F6E" w:sz="8" w:space="4"/>
        </w:pBdr>
        <w:spacing w:after="200" w:before="480"/>
      </w:pPr>
      <w:r>
        <w:rPr>
          <w:b/>
          <w:bCs/>
          <w:color w:val="1B2A4A"/>
          <w:sz w:val="30"/>
          <w:szCs w:val="30"/>
        </w:rPr>
        <w:t xml:space="preserve">Contents</w:t>
      </w:r>
    </w:p>
    <w:p>
      <w:pPr>
        <w:spacing w:after="160" w:line="276"/>
      </w:pPr>
      <w:r>
        <w:rPr>
          <w:b w:val="false"/>
          <w:bCs w:val="false"/>
          <w:i w:val="false"/>
          <w:iCs w:val="false"/>
          <w:color w:val="222222"/>
          <w:sz w:val="21"/>
          <w:szCs w:val="21"/>
        </w:rPr>
        <w:t xml:space="preserve">1. Executive Summary</w:t>
      </w:r>
    </w:p>
    <w:p>
      <w:pPr>
        <w:spacing w:after="160" w:line="276"/>
      </w:pPr>
      <w:r>
        <w:rPr>
          <w:b w:val="false"/>
          <w:bCs w:val="false"/>
          <w:i w:val="false"/>
          <w:iCs w:val="false"/>
          <w:color w:val="222222"/>
          <w:sz w:val="21"/>
          <w:szCs w:val="21"/>
        </w:rPr>
        <w:t xml:space="preserve">2. A Note on the Current Plan: What Needs to Change First</w:t>
      </w:r>
    </w:p>
    <w:p>
      <w:pPr>
        <w:spacing w:after="160" w:line="276"/>
      </w:pPr>
      <w:r>
        <w:rPr>
          <w:b w:val="false"/>
          <w:bCs w:val="false"/>
          <w:i w:val="false"/>
          <w:iCs w:val="false"/>
          <w:color w:val="222222"/>
          <w:sz w:val="21"/>
          <w:szCs w:val="21"/>
        </w:rPr>
        <w:t xml:space="preserve">3. The Global Market Opportunity</w:t>
      </w:r>
    </w:p>
    <w:p>
      <w:pPr>
        <w:spacing w:after="160" w:line="276"/>
      </w:pPr>
      <w:r>
        <w:rPr>
          <w:b w:val="false"/>
          <w:bCs w:val="false"/>
          <w:i w:val="false"/>
          <w:iCs w:val="false"/>
          <w:color w:val="222222"/>
          <w:sz w:val="21"/>
          <w:szCs w:val="21"/>
        </w:rPr>
        <w:t xml:space="preserve">4. Competitive Landscape</w:t>
      </w:r>
    </w:p>
    <w:p>
      <w:pPr>
        <w:spacing w:after="160" w:line="276"/>
      </w:pPr>
      <w:r>
        <w:rPr>
          <w:b w:val="false"/>
          <w:bCs w:val="false"/>
          <w:i w:val="false"/>
          <w:iCs w:val="false"/>
          <w:color w:val="222222"/>
          <w:sz w:val="21"/>
          <w:szCs w:val="21"/>
        </w:rPr>
        <w:t xml:space="preserve">5. Gap Analysis — What to Add to the Existing Plan</w:t>
      </w:r>
    </w:p>
    <w:p>
      <w:pPr>
        <w:spacing w:after="160" w:line="276"/>
      </w:pPr>
      <w:r>
        <w:rPr>
          <w:b w:val="false"/>
          <w:bCs w:val="false"/>
          <w:i w:val="false"/>
          <w:iCs w:val="false"/>
          <w:color w:val="222222"/>
          <w:sz w:val="21"/>
          <w:szCs w:val="21"/>
        </w:rPr>
        <w:t xml:space="preserve">6. New Features to Win Global Customers</w:t>
      </w:r>
    </w:p>
    <w:p>
      <w:pPr>
        <w:spacing w:after="160" w:line="276"/>
      </w:pPr>
      <w:r>
        <w:rPr>
          <w:b w:val="false"/>
          <w:bCs w:val="false"/>
          <w:i w:val="false"/>
          <w:iCs w:val="false"/>
          <w:color w:val="222222"/>
          <w:sz w:val="21"/>
          <w:szCs w:val="21"/>
        </w:rPr>
        <w:t xml:space="preserve">7. Global Pricing &amp; Packaging Recommendations</w:t>
      </w:r>
    </w:p>
    <w:p>
      <w:pPr>
        <w:spacing w:after="160" w:line="276"/>
      </w:pPr>
      <w:r>
        <w:rPr>
          <w:b w:val="false"/>
          <w:bCs w:val="false"/>
          <w:i w:val="false"/>
          <w:iCs w:val="false"/>
          <w:color w:val="222222"/>
          <w:sz w:val="21"/>
          <w:szCs w:val="21"/>
        </w:rPr>
        <w:t xml:space="preserve">8. Go-To-Market: Do's and Don'ts</w:t>
      </w:r>
    </w:p>
    <w:p>
      <w:pPr>
        <w:spacing w:after="160" w:line="276"/>
      </w:pPr>
      <w:r>
        <w:rPr>
          <w:b w:val="false"/>
          <w:bCs w:val="false"/>
          <w:i w:val="false"/>
          <w:iCs w:val="false"/>
          <w:color w:val="222222"/>
          <w:sz w:val="21"/>
          <w:szCs w:val="21"/>
        </w:rPr>
        <w:t xml:space="preserve">9. Get Customers Starting Today — 72-Hour Action Checklist</w:t>
      </w:r>
    </w:p>
    <w:p>
      <w:pPr>
        <w:spacing w:after="160" w:line="276"/>
      </w:pPr>
      <w:r>
        <w:rPr>
          <w:b w:val="false"/>
          <w:bCs w:val="false"/>
          <w:i w:val="false"/>
          <w:iCs w:val="false"/>
          <w:color w:val="222222"/>
          <w:sz w:val="21"/>
          <w:szCs w:val="21"/>
        </w:rPr>
        <w:t xml:space="preserve">10. Summary Roadmap</w:t>
      </w:r>
    </w:p>
    <w:p>
      <w:r>
        <w:br w:type="page"/>
      </w:r>
    </w:p>
    <w:p>
      <w:pPr>
        <w:pStyle w:val="Heading1"/>
        <w:pBdr>
          <w:bottom w:val="single" w:color="2E6F6E" w:sz="8" w:space="4"/>
        </w:pBdr>
        <w:spacing w:after="200" w:before="480"/>
      </w:pPr>
      <w:r>
        <w:rPr>
          <w:b/>
          <w:bCs/>
          <w:color w:val="1B2A4A"/>
          <w:sz w:val="30"/>
          <w:szCs w:val="30"/>
        </w:rPr>
        <w:t xml:space="preserve">1. Executive Summary</w:t>
      </w:r>
    </w:p>
    <w:p>
      <w:pPr>
        <w:spacing w:after="160" w:line="276"/>
      </w:pPr>
      <w:r>
        <w:rPr>
          <w:b w:val="false"/>
          <w:bCs w:val="false"/>
          <w:i w:val="false"/>
          <w:iCs w:val="false"/>
          <w:color w:val="222222"/>
          <w:sz w:val="21"/>
          <w:szCs w:val="21"/>
        </w:rPr>
        <w:t xml:space="preserve">The social media management software market is large, fragmented, and still growing fast — independent analyst estimates put the 2026 market between roughly $36 billion and $39 billion, expanding at a 17%–25% CAGR through the early 2030s (estimates vary by firm and methodology). Growth is being pulled forward by three forces that all favor a new, well-built entrant: the shift of commerce onto social platforms (social commerce is projected to cross $1 trillion+ globally and represent about 22% of all e-commerce by the end of 2026), the SMB/creator economy's continued explosion across every region of the world, and a wholesale rebuild of the incumbent tools around “agentic AI” — which, notably, plays directly into the AgentPost name if the product delivers real autonomous capability rather than a marketing label.</w:t>
      </w:r>
    </w:p>
    <w:p>
      <w:pPr>
        <w:spacing w:after="160" w:line="276"/>
      </w:pPr>
      <w:r>
        <w:rPr>
          <w:b w:val="false"/>
          <w:bCs w:val="false"/>
          <w:i w:val="false"/>
          <w:iCs w:val="false"/>
          <w:color w:val="222222"/>
          <w:sz w:val="21"/>
          <w:szCs w:val="21"/>
        </w:rPr>
        <w:t xml:space="preserve">AgentPost's current plan already covers solid ground: a unified dashboard, a clean “Brand” data model, scheduling and auto-publishing, ad management across Meta/Google/TikTok, website analytics, competitor tracking, custom reporting, SmartLinks, an AI assistant, and an MCP integration for AI clients like Claude and ChatGPT. That is a legitimate, sellable core product. But measured against the five real competitors analyzed in this document (Hootsuite, Sprout Social, Zoho Social, SOCi, and the platform the current plan is structurally modeled on, Metricool), AgentPost is missing several categories that buyers now expect — social listening, a deeper unified inbox, employee advocacy, local reputation management, social commerce, white-label/reseller tooling, and enterprise trust signals (SSO, SOC2/GDPR posture). Sections 4–6 below lay out exactly what to add.</w:t>
      </w:r>
    </w:p>
    <w:p>
      <w:pPr>
        <w:pBdr>
          <w:left w:val="single" w:color="2E6F6E" w:sz="24" w:space="8"/>
        </w:pBdr>
        <w:shd w:fill="EFF3F5" w:val="clear"/>
        <w:spacing w:after="200" w:before="120" w:line="264"/>
      </w:pPr>
      <w:r>
        <w:rPr>
          <w:b/>
          <w:bCs/>
          <w:color w:val="2E6F6E"/>
          <w:sz w:val="21"/>
          <w:szCs w:val="21"/>
        </w:rPr>
        <w:t xml:space="preserve">Bottom line:  </w:t>
      </w:r>
      <w:r>
        <w:rPr>
          <w:color w:val="222222"/>
          <w:sz w:val="21"/>
          <w:szCs w:val="21"/>
        </w:rPr>
        <w:t xml:space="preserve">AgentPost has a real product foundation and a name that already signals the single biggest 2026 trend in this category (agentic AI). The fastest path to global customers is: fix the documentation-originality problem this week, close the highest-value feature gaps below, price for the whole world (not just the US), and run a founder-led, community-first launch rather than a paid-ads-first launch.</w:t>
      </w:r>
    </w:p>
    <w:p>
      <w:pPr>
        <w:pStyle w:val="Heading1"/>
        <w:pBdr>
          <w:bottom w:val="single" w:color="2E6F6E" w:sz="8" w:space="4"/>
        </w:pBdr>
        <w:spacing w:after="200" w:before="480"/>
      </w:pPr>
      <w:r>
        <w:rPr>
          <w:b/>
          <w:bCs/>
          <w:color w:val="1B2A4A"/>
          <w:sz w:val="30"/>
          <w:szCs w:val="30"/>
        </w:rPr>
        <w:t xml:space="preserve">2. A Note on the Current Plan: What Needs to Change First</w:t>
      </w:r>
    </w:p>
    <w:p>
      <w:pPr>
        <w:spacing w:after="160" w:line="276"/>
      </w:pPr>
      <w:r>
        <w:rPr>
          <w:b w:val="false"/>
          <w:bCs w:val="false"/>
          <w:i w:val="false"/>
          <w:iCs w:val="false"/>
          <w:color w:val="222222"/>
          <w:sz w:val="21"/>
          <w:szCs w:val="21"/>
        </w:rPr>
        <w:t xml:space="preserve">This section is direct feedback, not filler: the uploaded document (“AgentPost platform functionality and beginner setup guide”) is not, in its current form, an original business plan. A large share of its text is structurally and verbally identical to Metricool's own published help-center documentation, with “Metricool” swapped for “AgentPost” in most — but not all — places. Several passages in the extracted text still literally read “Metricool” (for example, in the campaign-management and Google-Analytics-comparison tables) because the find-and-replace was incomplete.</w:t>
      </w:r>
    </w:p>
    <w:p>
      <w:pPr>
        <w:pStyle w:val="ListParagraph"/>
        <w:numPr>
          <w:ilvl w:val="0"/>
          <w:numId w:val="2"/>
        </w:numPr>
        <w:spacing w:after="80" w:line="264"/>
      </w:pPr>
      <w:r>
        <w:rPr>
          <w:color w:val="222222"/>
          <w:sz w:val="21"/>
          <w:szCs w:val="21"/>
        </w:rPr>
        <w:t xml:space="preserve">Why this matters: publishing rebranded competitor documentation as your own product guide is a trademark and copyright exposure, and it will be spotted instantly by any investor, journalist, or power user who has used Metricool — destroying credibility at the exact moment you need trust.</w:t>
      </w:r>
    </w:p>
    <w:p>
      <w:pPr>
        <w:pStyle w:val="ListParagraph"/>
        <w:numPr>
          <w:ilvl w:val="0"/>
          <w:numId w:val="2"/>
        </w:numPr>
        <w:spacing w:after="80" w:line="264"/>
      </w:pPr>
      <w:r>
        <w:rPr>
          <w:color w:val="222222"/>
          <w:sz w:val="21"/>
          <w:szCs w:val="21"/>
        </w:rPr>
        <w:t xml:space="preserve">Why this matters commercially: if the underlying product is literally a Metricool clone (same Brand model, same free-plan limits, same feature names), AgentPost has no differentiated story to tell yet — and “we are a cheaper/rebadged Metricool” is not a fundable or globally scalable position.</w:t>
      </w:r>
    </w:p>
    <w:p>
      <w:pPr>
        <w:pStyle w:val="ListParagraph"/>
        <w:numPr>
          <w:ilvl w:val="0"/>
          <w:numId w:val="2"/>
        </w:numPr>
        <w:spacing w:after="80" w:line="264"/>
      </w:pPr>
      <w:r>
        <w:rPr>
          <w:color w:val="222222"/>
          <w:sz w:val="21"/>
          <w:szCs w:val="21"/>
        </w:rPr>
        <w:t xml:space="preserve">The fix is straightforward: (1) rewrite every page of documentation and marketing copy in AgentPost's own voice and terminology, verified against what the product you actually build does; (2) use the feature gaps and new-feature list in this document to make the product meaningfully different, not just renamed; (3) keep Metricool (and the others) as a competitive benchmark in internal strategy docs only — never in anything customer- or investor-facing.</w:t>
      </w:r>
    </w:p>
    <w:p>
      <w:pPr>
        <w:pBdr>
          <w:left w:val="single" w:color="2E6F6E" w:sz="24" w:space="8"/>
        </w:pBdr>
        <w:shd w:fill="EFF3F5" w:val="clear"/>
        <w:spacing w:after="200" w:before="120" w:line="264"/>
      </w:pPr>
      <w:r>
        <w:rPr>
          <w:b/>
          <w:bCs/>
          <w:color w:val="2E6F6E"/>
          <w:sz w:val="21"/>
          <w:szCs w:val="21"/>
        </w:rPr>
        <w:t xml:space="preserve">Action:  </w:t>
      </w:r>
      <w:r>
        <w:rPr>
          <w:color w:val="222222"/>
          <w:sz w:val="21"/>
          <w:szCs w:val="21"/>
        </w:rPr>
        <w:t xml:space="preserve">Treat the rewrite of the product documentation as a Day-1 task, before any paid marketing or launch activity. It is the cheapest, fastest risk to remove.</w:t>
      </w:r>
    </w:p>
    <w:p>
      <w:pPr>
        <w:pStyle w:val="Heading1"/>
        <w:pBdr>
          <w:bottom w:val="single" w:color="2E6F6E" w:sz="8" w:space="4"/>
        </w:pBdr>
        <w:spacing w:after="200" w:before="480"/>
      </w:pPr>
      <w:r>
        <w:rPr>
          <w:b/>
          <w:bCs/>
          <w:color w:val="1B2A4A"/>
          <w:sz w:val="30"/>
          <w:szCs w:val="30"/>
        </w:rPr>
        <w:t xml:space="preserve">3. The Global Market Opportunity</w:t>
      </w:r>
    </w:p>
    <w:p>
      <w:pPr>
        <w:pStyle w:val="Heading2"/>
        <w:spacing w:after="140" w:before="320"/>
      </w:pPr>
      <w:r>
        <w:rPr>
          <w:b/>
          <w:bCs/>
          <w:color w:val="2E6F6E"/>
          <w:sz w:val="24"/>
          <w:szCs w:val="24"/>
        </w:rPr>
        <w:t xml:space="preserve">3.1 Market size and growth</w:t>
      </w:r>
    </w:p>
    <w:p>
      <w:pPr>
        <w:spacing w:after="160" w:line="276"/>
      </w:pPr>
      <w:r>
        <w:rPr>
          <w:b w:val="false"/>
          <w:bCs w:val="false"/>
          <w:i w:val="false"/>
          <w:iCs w:val="false"/>
          <w:color w:val="222222"/>
          <w:sz w:val="21"/>
          <w:szCs w:val="21"/>
        </w:rPr>
        <w:t xml:space="preserve">Multiple independent analyst firms sized the social media management software market for 2026 as follows (figures vary because firms scope the category differently — use as a directional range, not a single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19"/>
        <w:gridCol w:w="2781"/>
        <w:gridCol w:w="2781"/>
      </w:tblGrid>
      <w:tr>
        <w:trPr>
          <w:tblHeader/>
        </w:trPr>
        <w:tc>
          <w:tcPr>
            <w:tcW w:type="dxa" w:w="4519"/>
            <w:shd w:fill="1B2A4A" w:val="clear"/>
            <w:tcMar>
              <w:top w:type="dxa" w:w="90"/>
              <w:left w:type="dxa" w:w="110"/>
              <w:bottom w:type="dxa" w:w="90"/>
              <w:right w:type="dxa" w:w="110"/>
            </w:tcMar>
            <w:vAlign w:val="center"/>
          </w:tcPr>
          <w:p>
            <w:pPr>
              <w:spacing w:after="40"/>
            </w:pPr>
            <w:r>
              <w:rPr>
                <w:b/>
                <w:bCs/>
                <w:color w:val="FFFFFF"/>
                <w:sz w:val="19"/>
                <w:szCs w:val="19"/>
              </w:rPr>
              <w:t xml:space="preserve">Source</w:t>
            </w:r>
          </w:p>
        </w:tc>
        <w:tc>
          <w:tcPr>
            <w:tcW w:type="dxa" w:w="2781"/>
            <w:shd w:fill="1B2A4A" w:val="clear"/>
            <w:tcMar>
              <w:top w:type="dxa" w:w="90"/>
              <w:left w:type="dxa" w:w="110"/>
              <w:bottom w:type="dxa" w:w="90"/>
              <w:right w:type="dxa" w:w="110"/>
            </w:tcMar>
            <w:vAlign w:val="center"/>
          </w:tcPr>
          <w:p>
            <w:pPr>
              <w:spacing w:after="40"/>
            </w:pPr>
            <w:r>
              <w:rPr>
                <w:b/>
                <w:bCs/>
                <w:color w:val="FFFFFF"/>
                <w:sz w:val="19"/>
                <w:szCs w:val="19"/>
              </w:rPr>
              <w:t xml:space="preserve">2026 market size estimate</w:t>
            </w:r>
          </w:p>
        </w:tc>
        <w:tc>
          <w:tcPr>
            <w:tcW w:type="dxa" w:w="2781"/>
            <w:shd w:fill="1B2A4A" w:val="clear"/>
            <w:tcMar>
              <w:top w:type="dxa" w:w="90"/>
              <w:left w:type="dxa" w:w="110"/>
              <w:bottom w:type="dxa" w:w="90"/>
              <w:right w:type="dxa" w:w="110"/>
            </w:tcMar>
            <w:vAlign w:val="center"/>
          </w:tcPr>
          <w:p>
            <w:pPr>
              <w:spacing w:after="40"/>
            </w:pPr>
            <w:r>
              <w:rPr>
                <w:b/>
                <w:bCs/>
                <w:color w:val="FFFFFF"/>
                <w:sz w:val="19"/>
                <w:szCs w:val="19"/>
              </w:rPr>
              <w:t xml:space="preserve">CAGR forecast</w:t>
            </w:r>
          </w:p>
        </w:tc>
      </w:tr>
      <w:tr>
        <w:tc>
          <w:tcPr>
            <w:tcW w:type="dxa" w:w="4519"/>
            <w:tcMar>
              <w:top w:type="dxa" w:w="90"/>
              <w:left w:type="dxa" w:w="110"/>
              <w:bottom w:type="dxa" w:w="90"/>
              <w:right w:type="dxa" w:w="110"/>
            </w:tcMar>
            <w:vAlign w:val="center"/>
          </w:tcPr>
          <w:p>
            <w:pPr>
              <w:spacing w:after="40"/>
            </w:pPr>
            <w:r>
              <w:rPr>
                <w:b w:val="false"/>
                <w:bCs w:val="false"/>
                <w:color w:val="222222"/>
                <w:sz w:val="19"/>
                <w:szCs w:val="19"/>
              </w:rPr>
              <w:t xml:space="preserve">Grand View Research</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~$36.4B</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24.8% (2026–2033)</w:t>
            </w:r>
          </w:p>
        </w:tc>
      </w:tr>
      <w:tr>
        <w:tc>
          <w:tcPr>
            <w:tcW w:type="dxa" w:w="451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Fortune Business Insights</w:t>
            </w:r>
          </w:p>
        </w:tc>
        <w:tc>
          <w:tcPr>
            <w:tcW w:type="dxa" w:w="2781"/>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~$39.1B</w:t>
            </w:r>
          </w:p>
        </w:tc>
        <w:tc>
          <w:tcPr>
            <w:tcW w:type="dxa" w:w="2781"/>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19.7% (forecast period)</w:t>
            </w:r>
          </w:p>
        </w:tc>
      </w:tr>
      <w:tr>
        <w:tc>
          <w:tcPr>
            <w:tcW w:type="dxa" w:w="4519"/>
            <w:tcMar>
              <w:top w:type="dxa" w:w="90"/>
              <w:left w:type="dxa" w:w="110"/>
              <w:bottom w:type="dxa" w:w="90"/>
              <w:right w:type="dxa" w:w="110"/>
            </w:tcMar>
            <w:vAlign w:val="center"/>
          </w:tcPr>
          <w:p>
            <w:pPr>
              <w:spacing w:after="40"/>
            </w:pPr>
            <w:r>
              <w:rPr>
                <w:b w:val="false"/>
                <w:bCs w:val="false"/>
                <w:color w:val="222222"/>
                <w:sz w:val="19"/>
                <w:szCs w:val="19"/>
              </w:rPr>
              <w:t xml:space="preserve">Business Research Insights</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~$36.2B</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16.6% (2026–2035)</w:t>
            </w:r>
          </w:p>
        </w:tc>
      </w:tr>
      <w:tr>
        <w:tc>
          <w:tcPr>
            <w:tcW w:type="dxa" w:w="451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Global Growth Insights</w:t>
            </w:r>
          </w:p>
        </w:tc>
        <w:tc>
          <w:tcPr>
            <w:tcW w:type="dxa" w:w="2781"/>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~$6.1B (narrower scope)</w:t>
            </w:r>
          </w:p>
        </w:tc>
        <w:tc>
          <w:tcPr>
            <w:tcW w:type="dxa" w:w="2781"/>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18.6% (2026–2035)</w:t>
            </w:r>
          </w:p>
        </w:tc>
      </w:tr>
      <w:tr>
        <w:tc>
          <w:tcPr>
            <w:tcW w:type="dxa" w:w="4519"/>
            <w:tcMar>
              <w:top w:type="dxa" w:w="90"/>
              <w:left w:type="dxa" w:w="110"/>
              <w:bottom w:type="dxa" w:w="90"/>
              <w:right w:type="dxa" w:w="110"/>
            </w:tcMar>
            <w:vAlign w:val="center"/>
          </w:tcPr>
          <w:p>
            <w:pPr>
              <w:spacing w:after="40"/>
            </w:pPr>
            <w:r>
              <w:rPr>
                <w:b w:val="false"/>
                <w:bCs w:val="false"/>
                <w:color w:val="222222"/>
                <w:sz w:val="19"/>
                <w:szCs w:val="19"/>
              </w:rPr>
              <w:t xml:space="preserve">Market Research Future</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w:t>
            </w:r>
          </w:p>
        </w:tc>
        <w:tc>
          <w:tcPr>
            <w:tcW w:type="dxa" w:w="2781"/>
            <w:tcMar>
              <w:top w:type="dxa" w:w="90"/>
              <w:left w:type="dxa" w:w="110"/>
              <w:bottom w:type="dxa" w:w="90"/>
              <w:right w:type="dxa" w:w="110"/>
            </w:tcMar>
            <w:vAlign w:val="center"/>
          </w:tcPr>
          <w:p>
            <w:pPr>
              <w:spacing w:after="40"/>
            </w:pPr>
            <w:r>
              <w:rPr>
                <w:b w:val="false"/>
                <w:bCs w:val="false"/>
                <w:color w:val="222222"/>
                <w:sz w:val="19"/>
                <w:szCs w:val="19"/>
              </w:rPr>
              <w:t xml:space="preserve">31.3% (2025–2035)</w:t>
            </w:r>
          </w:p>
        </w:tc>
      </w:tr>
    </w:tbl>
    <w:p>
      <w:pPr>
        <w:spacing w:after="160" w:line="276"/>
      </w:pPr>
      <w:r>
        <w:rPr>
          <w:b w:val="false"/>
          <w:bCs w:val="false"/>
          <w:i w:val="false"/>
          <w:iCs w:val="false"/>
          <w:color w:val="222222"/>
          <w:sz w:val="21"/>
          <w:szCs w:val="21"/>
        </w:rPr>
        <w:t xml:space="preserve">Adjacent tailwind: social commerce crossed an estimated $1.2 trillion in global sales in 2025 and is projected to represent about 22% of all e-commerce revenue by the end of 2026 (up from 18% in 2024), with TikTok Shop converting at roughly 4.7% versus 2.1% for Instagram Shopping and 1.8% for Facebook Shops. Any social media platform that helps brands sell — not just post — is riding a much bigger, faster-growing wave than scheduling alone.</w:t>
      </w:r>
    </w:p>
    <w:p>
      <w:pPr>
        <w:pStyle w:val="Heading2"/>
        <w:spacing w:after="140" w:before="320"/>
      </w:pPr>
      <w:r>
        <w:rPr>
          <w:b/>
          <w:bCs/>
          <w:color w:val="2E6F6E"/>
          <w:sz w:val="24"/>
          <w:szCs w:val="24"/>
        </w:rPr>
        <w:t xml:space="preserve">3.2 Growth drivers relevant to AgentPost</w:t>
      </w:r>
    </w:p>
    <w:p>
      <w:pPr>
        <w:pStyle w:val="ListParagraph"/>
        <w:numPr>
          <w:ilvl w:val="0"/>
          <w:numId w:val="2"/>
        </w:numPr>
        <w:spacing w:after="80" w:line="264"/>
      </w:pPr>
      <w:r>
        <w:rPr>
          <w:color w:val="222222"/>
          <w:sz w:val="21"/>
          <w:szCs w:val="21"/>
        </w:rPr>
        <w:t xml:space="preserve">AI has become table stakes, not a differentiator by itself — every major competitor (Hootsuite, Sprout Social, SOCi) has rebuilt its platform around “agentic” AI in 2026. Enterprises using agentic AI for social report 3.2x higher content output at ~40% lower per-post cost — buyers now expect this, and will judge AgentPost against it from day one.</w:t>
      </w:r>
    </w:p>
    <w:p>
      <w:pPr>
        <w:pStyle w:val="ListParagraph"/>
        <w:numPr>
          <w:ilvl w:val="0"/>
          <w:numId w:val="2"/>
        </w:numPr>
        <w:spacing w:after="80" w:line="264"/>
      </w:pPr>
      <w:r>
        <w:rPr>
          <w:color w:val="222222"/>
          <w:sz w:val="21"/>
          <w:szCs w:val="21"/>
        </w:rPr>
        <w:t xml:space="preserve">The SMB, freelancer, and creator segment keeps growing globally and is chronically underserved by enterprise-priced tools — this is AgentPost's most reachable global segment.</w:t>
      </w:r>
    </w:p>
    <w:p>
      <w:pPr>
        <w:pStyle w:val="ListParagraph"/>
        <w:numPr>
          <w:ilvl w:val="0"/>
          <w:numId w:val="2"/>
        </w:numPr>
        <w:spacing w:after="80" w:line="264"/>
      </w:pPr>
      <w:r>
        <w:rPr>
          <w:color w:val="222222"/>
          <w:sz w:val="21"/>
          <w:szCs w:val="21"/>
        </w:rPr>
        <w:t xml:space="preserve">Agencies are consolidating tool spend: one platform that can run scheduling, ads, analytics, and client reporting for many brands is worth materially more per seat than a single-purpose tool — AgentPost's “Brand” model is well suited to this if paired with white-label and role permissions.</w:t>
      </w:r>
    </w:p>
    <w:p>
      <w:pPr>
        <w:pStyle w:val="ListParagraph"/>
        <w:numPr>
          <w:ilvl w:val="0"/>
          <w:numId w:val="2"/>
        </w:numPr>
        <w:spacing w:after="80" w:line="264"/>
      </w:pPr>
      <w:r>
        <w:rPr>
          <w:color w:val="222222"/>
          <w:sz w:val="21"/>
          <w:szCs w:val="21"/>
        </w:rPr>
        <w:t xml:space="preserve">Generative Engine Optimization (GEO) — being cited by ChatGPT, Perplexity, Gemini, and Google AI Overviews — is an emerging, still-unclaimed category inside social/content tooling in 2026. No incumbent fully owns it yet.</w:t>
      </w:r>
    </w:p>
    <w:p>
      <w:pPr>
        <w:pStyle w:val="Heading2"/>
        <w:spacing w:after="140" w:before="320"/>
      </w:pPr>
      <w:r>
        <w:rPr>
          <w:b/>
          <w:bCs/>
          <w:color w:val="2E6F6E"/>
          <w:sz w:val="24"/>
          <w:szCs w:val="24"/>
        </w:rPr>
        <w:t xml:space="preserve">3.3 Geographic opportunity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97"/>
        <w:gridCol w:w="3748"/>
        <w:gridCol w:w="4135"/>
      </w:tblGrid>
      <w:tr>
        <w:trPr>
          <w:tblHeader/>
        </w:trPr>
        <w:tc>
          <w:tcPr>
            <w:tcW w:type="dxa" w:w="2197"/>
            <w:shd w:fill="1B2A4A" w:val="clear"/>
            <w:tcMar>
              <w:top w:type="dxa" w:w="90"/>
              <w:left w:type="dxa" w:w="110"/>
              <w:bottom w:type="dxa" w:w="90"/>
              <w:right w:type="dxa" w:w="110"/>
            </w:tcMar>
            <w:vAlign w:val="center"/>
          </w:tcPr>
          <w:p>
            <w:pPr>
              <w:spacing w:after="40"/>
            </w:pPr>
            <w:r>
              <w:rPr>
                <w:b/>
                <w:bCs/>
                <w:color w:val="FFFFFF"/>
                <w:sz w:val="19"/>
                <w:szCs w:val="19"/>
              </w:rPr>
              <w:t xml:space="preserve">Region</w:t>
            </w:r>
          </w:p>
        </w:tc>
        <w:tc>
          <w:tcPr>
            <w:tcW w:type="dxa" w:w="3748"/>
            <w:shd w:fill="1B2A4A" w:val="clear"/>
            <w:tcMar>
              <w:top w:type="dxa" w:w="90"/>
              <w:left w:type="dxa" w:w="110"/>
              <w:bottom w:type="dxa" w:w="90"/>
              <w:right w:type="dxa" w:w="110"/>
            </w:tcMar>
            <w:vAlign w:val="center"/>
          </w:tcPr>
          <w:p>
            <w:pPr>
              <w:spacing w:after="40"/>
            </w:pPr>
            <w:r>
              <w:rPr>
                <w:b/>
                <w:bCs/>
                <w:color w:val="FFFFFF"/>
                <w:sz w:val="19"/>
                <w:szCs w:val="19"/>
              </w:rPr>
              <w:t xml:space="preserve">Opportunity</w:t>
            </w:r>
          </w:p>
        </w:tc>
        <w:tc>
          <w:tcPr>
            <w:tcW w:type="dxa" w:w="4135"/>
            <w:shd w:fill="1B2A4A" w:val="clear"/>
            <w:tcMar>
              <w:top w:type="dxa" w:w="90"/>
              <w:left w:type="dxa" w:w="110"/>
              <w:bottom w:type="dxa" w:w="90"/>
              <w:right w:type="dxa" w:w="110"/>
            </w:tcMar>
            <w:vAlign w:val="center"/>
          </w:tcPr>
          <w:p>
            <w:pPr>
              <w:spacing w:after="40"/>
            </w:pPr>
            <w:r>
              <w:rPr>
                <w:b/>
                <w:bCs/>
                <w:color w:val="FFFFFF"/>
                <w:sz w:val="19"/>
                <w:szCs w:val="19"/>
              </w:rPr>
              <w:t xml:space="preserve">How to win it</w:t>
            </w:r>
          </w:p>
        </w:tc>
      </w:tr>
      <w:tr>
        <w:tc>
          <w:tcPr>
            <w:tcW w:type="dxa" w:w="2197"/>
            <w:tcMar>
              <w:top w:type="dxa" w:w="90"/>
              <w:left w:type="dxa" w:w="110"/>
              <w:bottom w:type="dxa" w:w="90"/>
              <w:right w:type="dxa" w:w="110"/>
            </w:tcMar>
            <w:vAlign w:val="center"/>
          </w:tcPr>
          <w:p>
            <w:pPr>
              <w:spacing w:after="40"/>
            </w:pPr>
            <w:r>
              <w:rPr>
                <w:b w:val="false"/>
                <w:bCs w:val="false"/>
                <w:color w:val="222222"/>
                <w:sz w:val="19"/>
                <w:szCs w:val="19"/>
              </w:rPr>
              <w:t xml:space="preserve">North America</w:t>
            </w:r>
          </w:p>
        </w:tc>
        <w:tc>
          <w:tcPr>
            <w:tcW w:type="dxa" w:w="3748"/>
            <w:tcMar>
              <w:top w:type="dxa" w:w="90"/>
              <w:left w:type="dxa" w:w="110"/>
              <w:bottom w:type="dxa" w:w="90"/>
              <w:right w:type="dxa" w:w="110"/>
            </w:tcMar>
            <w:vAlign w:val="center"/>
          </w:tcPr>
          <w:p>
            <w:pPr>
              <w:spacing w:after="40"/>
            </w:pPr>
            <w:r>
              <w:rPr>
                <w:b w:val="false"/>
                <w:bCs w:val="false"/>
                <w:color w:val="222222"/>
                <w:sz w:val="19"/>
                <w:szCs w:val="19"/>
              </w:rPr>
              <w:t xml:space="preserve">Largest revenue pool, but most competitive and most expensive to acquire via ads</w:t>
            </w:r>
          </w:p>
        </w:tc>
        <w:tc>
          <w:tcPr>
            <w:tcW w:type="dxa" w:w="4135"/>
            <w:tcMar>
              <w:top w:type="dxa" w:w="90"/>
              <w:left w:type="dxa" w:w="110"/>
              <w:bottom w:type="dxa" w:w="90"/>
              <w:right w:type="dxa" w:w="110"/>
            </w:tcMar>
            <w:vAlign w:val="center"/>
          </w:tcPr>
          <w:p>
            <w:pPr>
              <w:spacing w:after="40"/>
            </w:pPr>
            <w:r>
              <w:rPr>
                <w:b w:val="false"/>
                <w:bCs w:val="false"/>
                <w:color w:val="222222"/>
                <w:sz w:val="19"/>
                <w:szCs w:val="19"/>
              </w:rPr>
              <w:t xml:space="preserve">Compete on price/value and AI depth vs. Hootsuite/Sprout; win via content &amp; community, not ad spend</w:t>
            </w:r>
          </w:p>
        </w:tc>
      </w:tr>
      <w:tr>
        <w:tc>
          <w:tcPr>
            <w:tcW w:type="dxa" w:w="2197"/>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Europe</w:t>
            </w:r>
          </w:p>
        </w:tc>
        <w:tc>
          <w:tcPr>
            <w:tcW w:type="dxa" w:w="374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Strong SMB/agency base; high trust bar</w:t>
            </w:r>
          </w:p>
        </w:tc>
        <w:tc>
          <w:tcPr>
            <w:tcW w:type="dxa" w:w="413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GDPR-first messaging, EU data residency, multi-language UI from day one</w:t>
            </w:r>
          </w:p>
        </w:tc>
      </w:tr>
      <w:tr>
        <w:tc>
          <w:tcPr>
            <w:tcW w:type="dxa" w:w="2197"/>
            <w:tcMar>
              <w:top w:type="dxa" w:w="90"/>
              <w:left w:type="dxa" w:w="110"/>
              <w:bottom w:type="dxa" w:w="90"/>
              <w:right w:type="dxa" w:w="110"/>
            </w:tcMar>
            <w:vAlign w:val="center"/>
          </w:tcPr>
          <w:p>
            <w:pPr>
              <w:spacing w:after="40"/>
            </w:pPr>
            <w:r>
              <w:rPr>
                <w:b w:val="false"/>
                <w:bCs w:val="false"/>
                <w:color w:val="222222"/>
                <w:sz w:val="19"/>
                <w:szCs w:val="19"/>
              </w:rPr>
              <w:t xml:space="preserve">Latin America</w:t>
            </w:r>
          </w:p>
        </w:tc>
        <w:tc>
          <w:tcPr>
            <w:tcW w:type="dxa" w:w="3748"/>
            <w:tcMar>
              <w:top w:type="dxa" w:w="90"/>
              <w:left w:type="dxa" w:w="110"/>
              <w:bottom w:type="dxa" w:w="90"/>
              <w:right w:type="dxa" w:w="110"/>
            </w:tcMar>
            <w:vAlign w:val="center"/>
          </w:tcPr>
          <w:p>
            <w:pPr>
              <w:spacing w:after="40"/>
            </w:pPr>
            <w:r>
              <w:rPr>
                <w:b w:val="false"/>
                <w:bCs w:val="false"/>
                <w:color w:val="222222"/>
                <w:sz w:val="19"/>
                <w:szCs w:val="19"/>
              </w:rPr>
              <w:t xml:space="preserve">Large creator/SMB economy, price-sensitive, currently underserved by premium English-first tools</w:t>
            </w:r>
          </w:p>
        </w:tc>
        <w:tc>
          <w:tcPr>
            <w:tcW w:type="dxa" w:w="4135"/>
            <w:tcMar>
              <w:top w:type="dxa" w:w="90"/>
              <w:left w:type="dxa" w:w="110"/>
              <w:bottom w:type="dxa" w:w="90"/>
              <w:right w:type="dxa" w:w="110"/>
            </w:tcMar>
            <w:vAlign w:val="center"/>
          </w:tcPr>
          <w:p>
            <w:pPr>
              <w:spacing w:after="40"/>
            </w:pPr>
            <w:r>
              <w:rPr>
                <w:b w:val="false"/>
                <w:bCs w:val="false"/>
                <w:color w:val="222222"/>
                <w:sz w:val="19"/>
                <w:szCs w:val="19"/>
              </w:rPr>
              <w:t xml:space="preserve">Purchasing-power-parity pricing, Portuguese/Spanish UI, local payment rails (Pix, Mercado Pago)</w:t>
            </w:r>
          </w:p>
        </w:tc>
      </w:tr>
      <w:tr>
        <w:tc>
          <w:tcPr>
            <w:tcW w:type="dxa" w:w="2197"/>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Southeast Asia</w:t>
            </w:r>
          </w:p>
        </w:tc>
        <w:tc>
          <w:tcPr>
            <w:tcW w:type="dxa" w:w="374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Fast-growing mobile-first creator economy; TikTok Shop adoption very high</w:t>
            </w:r>
          </w:p>
        </w:tc>
        <w:tc>
          <w:tcPr>
            <w:tcW w:type="dxa" w:w="413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Mobile-app parity, social-commerce features, local payment methods</w:t>
            </w:r>
          </w:p>
        </w:tc>
      </w:tr>
      <w:tr>
        <w:tc>
          <w:tcPr>
            <w:tcW w:type="dxa" w:w="2197"/>
            <w:tcMar>
              <w:top w:type="dxa" w:w="90"/>
              <w:left w:type="dxa" w:w="110"/>
              <w:bottom w:type="dxa" w:w="90"/>
              <w:right w:type="dxa" w:w="110"/>
            </w:tcMar>
            <w:vAlign w:val="center"/>
          </w:tcPr>
          <w:p>
            <w:pPr>
              <w:spacing w:after="40"/>
            </w:pPr>
            <w:r>
              <w:rPr>
                <w:b w:val="false"/>
                <w:bCs w:val="false"/>
                <w:color w:val="222222"/>
                <w:sz w:val="19"/>
                <w:szCs w:val="19"/>
              </w:rPr>
              <w:t xml:space="preserve">Middle East &amp; Africa</w:t>
            </w:r>
          </w:p>
        </w:tc>
        <w:tc>
          <w:tcPr>
            <w:tcW w:type="dxa" w:w="3748"/>
            <w:tcMar>
              <w:top w:type="dxa" w:w="90"/>
              <w:left w:type="dxa" w:w="110"/>
              <w:bottom w:type="dxa" w:w="90"/>
              <w:right w:type="dxa" w:w="110"/>
            </w:tcMar>
            <w:vAlign w:val="center"/>
          </w:tcPr>
          <w:p>
            <w:pPr>
              <w:spacing w:after="40"/>
            </w:pPr>
            <w:r>
              <w:rPr>
                <w:b w:val="false"/>
                <w:bCs w:val="false"/>
                <w:color w:val="222222"/>
                <w:sz w:val="19"/>
                <w:szCs w:val="19"/>
              </w:rPr>
              <w:t xml:space="preserve">Rapidly digitizing SMB base, low tool penetration</w:t>
            </w:r>
          </w:p>
        </w:tc>
        <w:tc>
          <w:tcPr>
            <w:tcW w:type="dxa" w:w="4135"/>
            <w:tcMar>
              <w:top w:type="dxa" w:w="90"/>
              <w:left w:type="dxa" w:w="110"/>
              <w:bottom w:type="dxa" w:w="90"/>
              <w:right w:type="dxa" w:w="110"/>
            </w:tcMar>
            <w:vAlign w:val="center"/>
          </w:tcPr>
          <w:p>
            <w:pPr>
              <w:spacing w:after="40"/>
            </w:pPr>
            <w:r>
              <w:rPr>
                <w:b w:val="false"/>
                <w:bCs w:val="false"/>
                <w:color w:val="222222"/>
                <w:sz w:val="19"/>
                <w:szCs w:val="19"/>
              </w:rPr>
              <w:t xml:space="preserve">Free-tier-led growth, mobile-first, local payment rails (e.g., M-Pesa)</w:t>
            </w:r>
          </w:p>
        </w:tc>
      </w:tr>
    </w:tbl>
    <w:p>
      <w:r>
        <w:br w:type="page"/>
      </w:r>
    </w:p>
    <w:p>
      <w:pPr>
        <w:pStyle w:val="Heading1"/>
        <w:pBdr>
          <w:bottom w:val="single" w:color="2E6F6E" w:sz="8" w:space="4"/>
        </w:pBdr>
        <w:spacing w:after="200" w:before="480"/>
      </w:pPr>
      <w:r>
        <w:rPr>
          <w:b/>
          <w:bCs/>
          <w:color w:val="1B2A4A"/>
          <w:sz w:val="30"/>
          <w:szCs w:val="30"/>
        </w:rPr>
        <w:t xml:space="preserve">4. Competitive Landscape</w:t>
      </w:r>
    </w:p>
    <w:p>
      <w:pPr>
        <w:spacing w:after="160" w:line="276"/>
      </w:pPr>
      <w:r>
        <w:rPr>
          <w:b w:val="false"/>
          <w:bCs w:val="false"/>
          <w:i w:val="false"/>
          <w:iCs w:val="false"/>
          <w:color w:val="222222"/>
          <w:sz w:val="21"/>
          <w:szCs w:val="21"/>
        </w:rPr>
        <w:t xml:space="preserve">The table below combines live G2 marketplace data (ratings, review volume, and published pricing tiers, pulled directly from G2's catalog) with current public pricing research for the tools most relevant to AgentPost's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789"/>
        <w:gridCol w:w="789"/>
        <w:gridCol w:w="1490"/>
        <w:gridCol w:w="2893"/>
        <w:gridCol w:w="2805"/>
      </w:tblGrid>
      <w:tr>
        <w:trPr>
          <w:tblHeader/>
        </w:trPr>
        <w:tc>
          <w:tcPr>
            <w:tcW w:type="dxa" w:w="1315"/>
            <w:shd w:fill="1B2A4A" w:val="clear"/>
            <w:tcMar>
              <w:top w:type="dxa" w:w="90"/>
              <w:left w:type="dxa" w:w="110"/>
              <w:bottom w:type="dxa" w:w="90"/>
              <w:right w:type="dxa" w:w="110"/>
            </w:tcMar>
            <w:vAlign w:val="center"/>
          </w:tcPr>
          <w:p>
            <w:pPr>
              <w:spacing w:after="40"/>
            </w:pPr>
            <w:r>
              <w:rPr>
                <w:b/>
                <w:bCs/>
                <w:color w:val="FFFFFF"/>
                <w:sz w:val="19"/>
                <w:szCs w:val="19"/>
              </w:rPr>
              <w:t xml:space="preserve">Product</w:t>
            </w:r>
          </w:p>
        </w:tc>
        <w:tc>
          <w:tcPr>
            <w:tcW w:type="dxa" w:w="789"/>
            <w:shd w:fill="1B2A4A" w:val="clear"/>
            <w:tcMar>
              <w:top w:type="dxa" w:w="90"/>
              <w:left w:type="dxa" w:w="110"/>
              <w:bottom w:type="dxa" w:w="90"/>
              <w:right w:type="dxa" w:w="110"/>
            </w:tcMar>
            <w:vAlign w:val="center"/>
          </w:tcPr>
          <w:p>
            <w:pPr>
              <w:spacing w:after="40"/>
            </w:pPr>
            <w:r>
              <w:rPr>
                <w:b/>
                <w:bCs/>
                <w:color w:val="FFFFFF"/>
                <w:sz w:val="19"/>
                <w:szCs w:val="19"/>
              </w:rPr>
              <w:t xml:space="preserve">G2 rating</w:t>
            </w:r>
          </w:p>
        </w:tc>
        <w:tc>
          <w:tcPr>
            <w:tcW w:type="dxa" w:w="789"/>
            <w:shd w:fill="1B2A4A" w:val="clear"/>
            <w:tcMar>
              <w:top w:type="dxa" w:w="90"/>
              <w:left w:type="dxa" w:w="110"/>
              <w:bottom w:type="dxa" w:w="90"/>
              <w:right w:type="dxa" w:w="110"/>
            </w:tcMar>
            <w:vAlign w:val="center"/>
          </w:tcPr>
          <w:p>
            <w:pPr>
              <w:spacing w:after="40"/>
            </w:pPr>
            <w:r>
              <w:rPr>
                <w:b/>
                <w:bCs/>
                <w:color w:val="FFFFFF"/>
                <w:sz w:val="19"/>
                <w:szCs w:val="19"/>
              </w:rPr>
              <w:t xml:space="preserve">Reviews</w:t>
            </w:r>
          </w:p>
        </w:tc>
        <w:tc>
          <w:tcPr>
            <w:tcW w:type="dxa" w:w="1490"/>
            <w:shd w:fill="1B2A4A" w:val="clear"/>
            <w:tcMar>
              <w:top w:type="dxa" w:w="90"/>
              <w:left w:type="dxa" w:w="110"/>
              <w:bottom w:type="dxa" w:w="90"/>
              <w:right w:type="dxa" w:w="110"/>
            </w:tcMar>
            <w:vAlign w:val="center"/>
          </w:tcPr>
          <w:p>
            <w:pPr>
              <w:spacing w:after="40"/>
            </w:pPr>
            <w:r>
              <w:rPr>
                <w:b/>
                <w:bCs/>
                <w:color w:val="FFFFFF"/>
                <w:sz w:val="19"/>
                <w:szCs w:val="19"/>
              </w:rPr>
              <w:t xml:space="preserve">Entry price</w:t>
            </w:r>
          </w:p>
        </w:tc>
        <w:tc>
          <w:tcPr>
            <w:tcW w:type="dxa" w:w="2893"/>
            <w:shd w:fill="1B2A4A" w:val="clear"/>
            <w:tcMar>
              <w:top w:type="dxa" w:w="90"/>
              <w:left w:type="dxa" w:w="110"/>
              <w:bottom w:type="dxa" w:w="90"/>
              <w:right w:type="dxa" w:w="110"/>
            </w:tcMar>
            <w:vAlign w:val="center"/>
          </w:tcPr>
          <w:p>
            <w:pPr>
              <w:spacing w:after="40"/>
            </w:pPr>
            <w:r>
              <w:rPr>
                <w:b/>
                <w:bCs/>
                <w:color w:val="FFFFFF"/>
                <w:sz w:val="19"/>
                <w:szCs w:val="19"/>
              </w:rPr>
              <w:t xml:space="preserve">Where it wins</w:t>
            </w:r>
          </w:p>
        </w:tc>
        <w:tc>
          <w:tcPr>
            <w:tcW w:type="dxa" w:w="2805"/>
            <w:shd w:fill="1B2A4A" w:val="clear"/>
            <w:tcMar>
              <w:top w:type="dxa" w:w="90"/>
              <w:left w:type="dxa" w:w="110"/>
              <w:bottom w:type="dxa" w:w="90"/>
              <w:right w:type="dxa" w:w="110"/>
            </w:tcMar>
            <w:vAlign w:val="center"/>
          </w:tcPr>
          <w:p>
            <w:pPr>
              <w:spacing w:after="40"/>
            </w:pPr>
            <w:r>
              <w:rPr>
                <w:b/>
                <w:bCs/>
                <w:color w:val="FFFFFF"/>
                <w:sz w:val="19"/>
                <w:szCs w:val="19"/>
              </w:rPr>
              <w:t xml:space="preserve">Where it's weak</w:t>
            </w:r>
          </w:p>
        </w:tc>
      </w:tr>
      <w:tr>
        <w:tc>
          <w:tcPr>
            <w:tcW w:type="dxa" w:w="1315"/>
            <w:tcMar>
              <w:top w:type="dxa" w:w="90"/>
              <w:left w:type="dxa" w:w="110"/>
              <w:bottom w:type="dxa" w:w="90"/>
              <w:right w:type="dxa" w:w="110"/>
            </w:tcMar>
            <w:vAlign w:val="center"/>
          </w:tcPr>
          <w:p>
            <w:pPr>
              <w:spacing w:after="40"/>
            </w:pPr>
            <w:r>
              <w:rPr>
                <w:b w:val="false"/>
                <w:bCs w:val="false"/>
                <w:color w:val="222222"/>
                <w:sz w:val="19"/>
                <w:szCs w:val="19"/>
              </w:rPr>
              <w:t xml:space="preserve">Hootsuite</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4.3 / 5</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7,419</w:t>
            </w:r>
          </w:p>
        </w:tc>
        <w:tc>
          <w:tcPr>
            <w:tcW w:type="dxa" w:w="1490"/>
            <w:tcMar>
              <w:top w:type="dxa" w:w="90"/>
              <w:left w:type="dxa" w:w="110"/>
              <w:bottom w:type="dxa" w:w="90"/>
              <w:right w:type="dxa" w:w="110"/>
            </w:tcMar>
            <w:vAlign w:val="center"/>
          </w:tcPr>
          <w:p>
            <w:pPr>
              <w:spacing w:after="40"/>
            </w:pPr>
            <w:r>
              <w:rPr>
                <w:b w:val="false"/>
                <w:bCs w:val="false"/>
                <w:color w:val="222222"/>
                <w:sz w:val="19"/>
                <w:szCs w:val="19"/>
              </w:rPr>
              <w:t xml:space="preserve">$99/mo (Standard)</w:t>
            </w:r>
          </w:p>
        </w:tc>
        <w:tc>
          <w:tcPr>
            <w:tcW w:type="dxa" w:w="2893"/>
            <w:tcMar>
              <w:top w:type="dxa" w:w="90"/>
              <w:left w:type="dxa" w:w="110"/>
              <w:bottom w:type="dxa" w:w="90"/>
              <w:right w:type="dxa" w:w="110"/>
            </w:tcMar>
            <w:vAlign w:val="center"/>
          </w:tcPr>
          <w:p>
            <w:pPr>
              <w:spacing w:after="40"/>
            </w:pPr>
            <w:r>
              <w:rPr>
                <w:b w:val="false"/>
                <w:bCs w:val="false"/>
                <w:color w:val="222222"/>
                <w:sz w:val="19"/>
                <w:szCs w:val="19"/>
              </w:rPr>
              <w:t xml:space="preserve">Broadest network coverage (35+ networks); real-time social listening (“Lumen”); chat-with-your-data AI (“Wisdom”); employee advocacy (“Parliament”); native MCP into Claude/ChatGPT</w:t>
            </w:r>
          </w:p>
        </w:tc>
        <w:tc>
          <w:tcPr>
            <w:tcW w:type="dxa" w:w="2805"/>
            <w:tcMar>
              <w:top w:type="dxa" w:w="90"/>
              <w:left w:type="dxa" w:w="110"/>
              <w:bottom w:type="dxa" w:w="90"/>
              <w:right w:type="dxa" w:w="110"/>
            </w:tcMar>
            <w:vAlign w:val="center"/>
          </w:tcPr>
          <w:p>
            <w:pPr>
              <w:spacing w:after="40"/>
            </w:pPr>
            <w:r>
              <w:rPr>
                <w:b w:val="false"/>
                <w:bCs w:val="false"/>
                <w:color w:val="222222"/>
                <w:sz w:val="19"/>
                <w:szCs w:val="19"/>
              </w:rPr>
              <w:t xml:space="preserve">Expensive; historically criticized for UI complexity and a steep learning curve</w:t>
            </w:r>
          </w:p>
        </w:tc>
      </w:tr>
      <w:tr>
        <w:tc>
          <w:tcPr>
            <w:tcW w:type="dxa" w:w="131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Sprout Social</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4.4 / 5</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6,872</w:t>
            </w:r>
          </w:p>
        </w:tc>
        <w:tc>
          <w:tcPr>
            <w:tcW w:type="dxa" w:w="1490"/>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$79/mo (Essentials), real features start ~$199+</w:t>
            </w:r>
          </w:p>
        </w:tc>
        <w:tc>
          <w:tcPr>
            <w:tcW w:type="dxa" w:w="2893"/>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Best-in-class analytics &amp; social listening; agentic AI (“Trellis”); enterprise security/compliance; deep APIs</w:t>
            </w:r>
          </w:p>
        </w:tc>
        <w:tc>
          <w:tcPr>
            <w:tcW w:type="dxa" w:w="280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Listening and enterprise features gated behind expensive tiers; costly per-seat pricing</w:t>
            </w:r>
          </w:p>
        </w:tc>
      </w:tr>
      <w:tr>
        <w:tc>
          <w:tcPr>
            <w:tcW w:type="dxa" w:w="1315"/>
            <w:tcMar>
              <w:top w:type="dxa" w:w="90"/>
              <w:left w:type="dxa" w:w="110"/>
              <w:bottom w:type="dxa" w:w="90"/>
              <w:right w:type="dxa" w:w="110"/>
            </w:tcMar>
            <w:vAlign w:val="center"/>
          </w:tcPr>
          <w:p>
            <w:pPr>
              <w:spacing w:after="40"/>
            </w:pPr>
            <w:r>
              <w:rPr>
                <w:b w:val="false"/>
                <w:bCs w:val="false"/>
                <w:color w:val="222222"/>
                <w:sz w:val="19"/>
                <w:szCs w:val="19"/>
              </w:rPr>
              <w:t xml:space="preserve">Zoho Social</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4.6 / 5 (highest rated)</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2,963</w:t>
            </w:r>
          </w:p>
        </w:tc>
        <w:tc>
          <w:tcPr>
            <w:tcW w:type="dxa" w:w="1490"/>
            <w:tcMar>
              <w:top w:type="dxa" w:w="90"/>
              <w:left w:type="dxa" w:w="110"/>
              <w:bottom w:type="dxa" w:w="90"/>
              <w:right w:type="dxa" w:w="110"/>
            </w:tcMar>
            <w:vAlign w:val="center"/>
          </w:tcPr>
          <w:p>
            <w:pPr>
              <w:spacing w:after="40"/>
            </w:pPr>
            <w:r>
              <w:rPr>
                <w:b w:val="false"/>
                <w:bCs w:val="false"/>
                <w:color w:val="222222"/>
                <w:sz w:val="19"/>
                <w:szCs w:val="19"/>
              </w:rPr>
              <w:t xml:space="preserve">$10/mo (Standard); free plan</w:t>
            </w:r>
          </w:p>
        </w:tc>
        <w:tc>
          <w:tcPr>
            <w:tcW w:type="dxa" w:w="2893"/>
            <w:tcMar>
              <w:top w:type="dxa" w:w="90"/>
              <w:left w:type="dxa" w:w="110"/>
              <w:bottom w:type="dxa" w:w="90"/>
              <w:right w:type="dxa" w:w="110"/>
            </w:tcMar>
            <w:vAlign w:val="center"/>
          </w:tcPr>
          <w:p>
            <w:pPr>
              <w:spacing w:after="40"/>
            </w:pPr>
            <w:r>
              <w:rPr>
                <w:b w:val="false"/>
                <w:bCs w:val="false"/>
                <w:color w:val="222222"/>
                <w:sz w:val="19"/>
                <w:szCs w:val="19"/>
              </w:rPr>
              <w:t xml:space="preserve">Cheapest full-featured option; supports WhatsApp, Telegram, Mastodon, Bluesky (broadest niche-channel coverage); tight CRM/Helpdesk ecosystem tie-in</w:t>
            </w:r>
          </w:p>
        </w:tc>
        <w:tc>
          <w:tcPr>
            <w:tcW w:type="dxa" w:w="2805"/>
            <w:tcMar>
              <w:top w:type="dxa" w:w="90"/>
              <w:left w:type="dxa" w:w="110"/>
              <w:bottom w:type="dxa" w:w="90"/>
              <w:right w:type="dxa" w:w="110"/>
            </w:tcMar>
            <w:vAlign w:val="center"/>
          </w:tcPr>
          <w:p>
            <w:pPr>
              <w:spacing w:after="40"/>
            </w:pPr>
            <w:r>
              <w:rPr>
                <w:b w:val="false"/>
                <w:bCs w:val="false"/>
                <w:color w:val="222222"/>
                <w:sz w:val="19"/>
                <w:szCs w:val="19"/>
              </w:rPr>
              <w:t xml:space="preserve">Smaller integration marketplace and brand recognition outside the Zoho ecosystem</w:t>
            </w:r>
          </w:p>
        </w:tc>
      </w:tr>
      <w:tr>
        <w:tc>
          <w:tcPr>
            <w:tcW w:type="dxa" w:w="131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SOCi</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4.5 / 5</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4,673</w:t>
            </w:r>
          </w:p>
        </w:tc>
        <w:tc>
          <w:tcPr>
            <w:tcW w:type="dxa" w:w="1490"/>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Contact Us (enterprise)</w:t>
            </w:r>
          </w:p>
        </w:tc>
        <w:tc>
          <w:tcPr>
            <w:tcW w:type="dxa" w:w="2893"/>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Multi-location/franchise specialist; local-SEO + GEO (AI-search visibility) agent; automated review/reputation agent</w:t>
            </w:r>
          </w:p>
        </w:tc>
        <w:tc>
          <w:tcPr>
            <w:tcW w:type="dxa" w:w="280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Enterprise-only; not accessible or relevant to solo creators or small teams</w:t>
            </w:r>
          </w:p>
        </w:tc>
      </w:tr>
      <w:tr>
        <w:tc>
          <w:tcPr>
            <w:tcW w:type="dxa" w:w="1315"/>
            <w:tcMar>
              <w:top w:type="dxa" w:w="90"/>
              <w:left w:type="dxa" w:w="110"/>
              <w:bottom w:type="dxa" w:w="90"/>
              <w:right w:type="dxa" w:w="110"/>
            </w:tcMar>
            <w:vAlign w:val="center"/>
          </w:tcPr>
          <w:p>
            <w:pPr>
              <w:spacing w:after="40"/>
            </w:pPr>
            <w:r>
              <w:rPr>
                <w:b w:val="false"/>
                <w:bCs w:val="false"/>
                <w:color w:val="222222"/>
                <w:sz w:val="19"/>
                <w:szCs w:val="19"/>
              </w:rPr>
              <w:t xml:space="preserve">Buffer</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 (public data)</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w:t>
            </w:r>
          </w:p>
        </w:tc>
        <w:tc>
          <w:tcPr>
            <w:tcW w:type="dxa" w:w="1490"/>
            <w:tcMar>
              <w:top w:type="dxa" w:w="90"/>
              <w:left w:type="dxa" w:w="110"/>
              <w:bottom w:type="dxa" w:w="90"/>
              <w:right w:type="dxa" w:w="110"/>
            </w:tcMar>
            <w:vAlign w:val="center"/>
          </w:tcPr>
          <w:p>
            <w:pPr>
              <w:spacing w:after="40"/>
            </w:pPr>
            <w:r>
              <w:rPr>
                <w:b w:val="false"/>
                <w:bCs w:val="false"/>
                <w:color w:val="222222"/>
                <w:sz w:val="19"/>
                <w:szCs w:val="19"/>
              </w:rPr>
              <w:t xml:space="preserve">From ~$6/mo per channel; generous free plan</w:t>
            </w:r>
          </w:p>
        </w:tc>
        <w:tc>
          <w:tcPr>
            <w:tcW w:type="dxa" w:w="2893"/>
            <w:tcMar>
              <w:top w:type="dxa" w:w="90"/>
              <w:left w:type="dxa" w:w="110"/>
              <w:bottom w:type="dxa" w:w="90"/>
              <w:right w:type="dxa" w:w="110"/>
            </w:tcMar>
            <w:vAlign w:val="center"/>
          </w:tcPr>
          <w:p>
            <w:pPr>
              <w:spacing w:after="40"/>
            </w:pPr>
            <w:r>
              <w:rPr>
                <w:b w:val="false"/>
                <w:bCs w:val="false"/>
                <w:color w:val="222222"/>
                <w:sz w:val="19"/>
                <w:szCs w:val="19"/>
              </w:rPr>
              <w:t xml:space="preserve">Simplest UX in the category; transparent per-channel pricing; loved by solo creators</w:t>
            </w:r>
          </w:p>
        </w:tc>
        <w:tc>
          <w:tcPr>
            <w:tcW w:type="dxa" w:w="2805"/>
            <w:tcMar>
              <w:top w:type="dxa" w:w="90"/>
              <w:left w:type="dxa" w:w="110"/>
              <w:bottom w:type="dxa" w:w="90"/>
              <w:right w:type="dxa" w:w="110"/>
            </w:tcMar>
            <w:vAlign w:val="center"/>
          </w:tcPr>
          <w:p>
            <w:pPr>
              <w:spacing w:after="40"/>
            </w:pPr>
            <w:r>
              <w:rPr>
                <w:b w:val="false"/>
                <w:bCs w:val="false"/>
                <w:color w:val="222222"/>
                <w:sz w:val="19"/>
                <w:szCs w:val="19"/>
              </w:rPr>
              <w:t xml:space="preserve">Thinner analytics and competitor tracking than the analytics-first tools; weaker agency/team tooling</w:t>
            </w:r>
          </w:p>
        </w:tc>
      </w:tr>
      <w:tr>
        <w:tc>
          <w:tcPr>
            <w:tcW w:type="dxa" w:w="131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SocialPilot</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 (public data)</w:t>
            </w:r>
          </w:p>
        </w:tc>
        <w:tc>
          <w:tcPr>
            <w:tcW w:type="dxa" w:w="789"/>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w:t>
            </w:r>
          </w:p>
        </w:tc>
        <w:tc>
          <w:tcPr>
            <w:tcW w:type="dxa" w:w="1490"/>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~$20–$30/mo for a bundle of accounts (not per-seat)</w:t>
            </w:r>
          </w:p>
        </w:tc>
        <w:tc>
          <w:tcPr>
            <w:tcW w:type="dxa" w:w="2893"/>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Cheapest for agencies managing many accounts; strong white-label option</w:t>
            </w:r>
          </w:p>
        </w:tc>
        <w:tc>
          <w:tcPr>
            <w:tcW w:type="dxa" w:w="2805"/>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Less polished UI/UX; smaller native AI feature set</w:t>
            </w:r>
          </w:p>
        </w:tc>
      </w:tr>
      <w:tr>
        <w:tc>
          <w:tcPr>
            <w:tcW w:type="dxa" w:w="1315"/>
            <w:tcMar>
              <w:top w:type="dxa" w:w="90"/>
              <w:left w:type="dxa" w:w="110"/>
              <w:bottom w:type="dxa" w:w="90"/>
              <w:right w:type="dxa" w:w="110"/>
            </w:tcMar>
            <w:vAlign w:val="center"/>
          </w:tcPr>
          <w:p>
            <w:pPr>
              <w:spacing w:after="40"/>
            </w:pPr>
            <w:r>
              <w:rPr>
                <w:b w:val="false"/>
                <w:bCs w:val="false"/>
                <w:color w:val="222222"/>
                <w:sz w:val="19"/>
                <w:szCs w:val="19"/>
              </w:rPr>
              <w:t xml:space="preserve">Metricool</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 (public data)</w:t>
            </w:r>
          </w:p>
        </w:tc>
        <w:tc>
          <w:tcPr>
            <w:tcW w:type="dxa" w:w="789"/>
            <w:tcMar>
              <w:top w:type="dxa" w:w="90"/>
              <w:left w:type="dxa" w:w="110"/>
              <w:bottom w:type="dxa" w:w="90"/>
              <w:right w:type="dxa" w:w="110"/>
            </w:tcMar>
            <w:vAlign w:val="center"/>
          </w:tcPr>
          <w:p>
            <w:pPr>
              <w:spacing w:after="40"/>
            </w:pPr>
            <w:r>
              <w:rPr>
                <w:b w:val="false"/>
                <w:bCs w:val="false"/>
                <w:color w:val="222222"/>
                <w:sz w:val="19"/>
                <w:szCs w:val="19"/>
              </w:rPr>
              <w:t xml:space="preserve">—</w:t>
            </w:r>
          </w:p>
        </w:tc>
        <w:tc>
          <w:tcPr>
            <w:tcW w:type="dxa" w:w="1490"/>
            <w:tcMar>
              <w:top w:type="dxa" w:w="90"/>
              <w:left w:type="dxa" w:w="110"/>
              <w:bottom w:type="dxa" w:w="90"/>
              <w:right w:type="dxa" w:w="110"/>
            </w:tcMar>
            <w:vAlign w:val="center"/>
          </w:tcPr>
          <w:p>
            <w:pPr>
              <w:spacing w:after="40"/>
            </w:pPr>
            <w:r>
              <w:rPr>
                <w:b w:val="false"/>
                <w:bCs w:val="false"/>
                <w:color w:val="222222"/>
                <w:sz w:val="19"/>
                <w:szCs w:val="19"/>
              </w:rPr>
              <w:t xml:space="preserve">~$25.50/mo (Essentials); free plan</w:t>
            </w:r>
          </w:p>
        </w:tc>
        <w:tc>
          <w:tcPr>
            <w:tcW w:type="dxa" w:w="2893"/>
            <w:tcMar>
              <w:top w:type="dxa" w:w="90"/>
              <w:left w:type="dxa" w:w="110"/>
              <w:bottom w:type="dxa" w:w="90"/>
              <w:right w:type="dxa" w:w="110"/>
            </w:tcMar>
            <w:vAlign w:val="center"/>
          </w:tcPr>
          <w:p>
            <w:pPr>
              <w:spacing w:after="40"/>
            </w:pPr>
            <w:r>
              <w:rPr>
                <w:b w:val="false"/>
                <w:bCs w:val="false"/>
                <w:color w:val="222222"/>
                <w:sz w:val="19"/>
                <w:szCs w:val="19"/>
              </w:rPr>
              <w:t xml:space="preserve">Generous free plan; ads + analytics + SmartLinks + website tracking unified in one product — the structural template the current AgentPost plan is built on</w:t>
            </w:r>
          </w:p>
        </w:tc>
        <w:tc>
          <w:tcPr>
            <w:tcW w:type="dxa" w:w="2805"/>
            <w:tcMar>
              <w:top w:type="dxa" w:w="90"/>
              <w:left w:type="dxa" w:w="110"/>
              <w:bottom w:type="dxa" w:w="90"/>
              <w:right w:type="dxa" w:w="110"/>
            </w:tcMar>
            <w:vAlign w:val="center"/>
          </w:tcPr>
          <w:p>
            <w:pPr>
              <w:spacing w:after="40"/>
            </w:pPr>
            <w:r>
              <w:rPr>
                <w:b w:val="false"/>
                <w:bCs w:val="false"/>
                <w:color w:val="222222"/>
                <w:sz w:val="19"/>
                <w:szCs w:val="19"/>
              </w:rPr>
              <w:t xml:space="preserve">Weaker global brand recognition outside its core markets; AgentPost cloning it 1:1 leaves no differentiated story</w:t>
            </w:r>
          </w:p>
        </w:tc>
      </w:tr>
    </w:tbl>
    <w:p>
      <w:pPr>
        <w:pBdr>
          <w:left w:val="single" w:color="2E6F6E" w:sz="24" w:space="8"/>
        </w:pBdr>
        <w:shd w:fill="EFF3F5" w:val="clear"/>
        <w:spacing w:after="200" w:before="120" w:line="264"/>
      </w:pPr>
      <w:r>
        <w:rPr>
          <w:b/>
          <w:bCs/>
          <w:color w:val="2E6F6E"/>
          <w:sz w:val="21"/>
          <w:szCs w:val="21"/>
        </w:rPr>
        <w:t xml:space="preserve">Read on this data:  </w:t>
      </w:r>
      <w:r>
        <w:rPr>
          <w:color w:val="222222"/>
          <w:sz w:val="21"/>
          <w:szCs w:val="21"/>
        </w:rPr>
        <w:t xml:space="preserve">The highest G2 rating in the category (Zoho Social, 4.6) belongs to the cheapest full-featured tool with the broadest niche-channel coverage — not the most expensive or most feature-dense one. That is strong evidence that AgentPost should compete on breadth-of-value-per-dollar and channel coverage rather than trying to out-enterprise Hootsuite or Sprout Social.</w:t>
      </w:r>
    </w:p>
    <w:p>
      <w:r>
        <w:br w:type="page"/>
      </w:r>
    </w:p>
    <w:p>
      <w:pPr>
        <w:pStyle w:val="Heading1"/>
        <w:pBdr>
          <w:bottom w:val="single" w:color="2E6F6E" w:sz="8" w:space="4"/>
        </w:pBdr>
        <w:spacing w:after="200" w:before="480"/>
      </w:pPr>
      <w:r>
        <w:rPr>
          <w:b/>
          <w:bCs/>
          <w:color w:val="1B2A4A"/>
          <w:sz w:val="30"/>
          <w:szCs w:val="30"/>
        </w:rPr>
        <w:t xml:space="preserve">5. Gap Analysis — What to Add to the Existing Plan</w:t>
      </w:r>
    </w:p>
    <w:p>
      <w:pPr>
        <w:spacing w:after="160" w:line="276"/>
      </w:pPr>
      <w:r>
        <w:rPr>
          <w:b w:val="false"/>
          <w:bCs w:val="false"/>
          <w:i w:val="false"/>
          <w:iCs w:val="false"/>
          <w:color w:val="222222"/>
          <w:sz w:val="21"/>
          <w:szCs w:val="21"/>
        </w:rPr>
        <w:t xml:space="preserve">Comparing AgentPost's current documented feature set against the competitors above surfaces the following gaps. These should be added to the product roadmap and the business plan's feature section.</w:t>
      </w:r>
    </w:p>
    <w:p>
      <w:pPr>
        <w:spacing w:after="100" w:before="220"/>
      </w:pPr>
      <w:r>
        <w:rPr>
          <w:b/>
          <w:bCs/>
          <w:color w:val="1B2A4A"/>
          <w:sz w:val="21"/>
          <w:szCs w:val="21"/>
        </w:rPr>
        <w:t xml:space="preserve">Social listening &amp; sentiment</w:t>
      </w:r>
    </w:p>
    <w:p>
      <w:pPr>
        <w:spacing w:after="160" w:line="276"/>
      </w:pPr>
      <w:r>
        <w:rPr>
          <w:b w:val="false"/>
          <w:bCs w:val="false"/>
          <w:i w:val="false"/>
          <w:iCs w:val="false"/>
          <w:color w:val="222222"/>
          <w:sz w:val="21"/>
          <w:szCs w:val="21"/>
        </w:rPr>
        <w:t xml:space="preserve">AgentPost's plan only covers competitor benchmarking and hashtag tracking. It has no brand-mention monitoring, sentiment analysis, or share-of-voice reporting — a category leader in Hootsuite (Lumen) and Sprout Social (Trellis).</w:t>
      </w:r>
    </w:p>
    <w:p>
      <w:pPr>
        <w:spacing w:after="100" w:before="220"/>
      </w:pPr>
      <w:r>
        <w:rPr>
          <w:b/>
          <w:bCs/>
          <w:color w:val="1B2A4A"/>
          <w:sz w:val="21"/>
          <w:szCs w:val="21"/>
        </w:rPr>
        <w:t xml:space="preserve">In-app conversational AI over your own data</w:t>
      </w:r>
    </w:p>
    <w:p>
      <w:pPr>
        <w:spacing w:after="160" w:line="276"/>
      </w:pPr>
      <w:r>
        <w:rPr>
          <w:b w:val="false"/>
          <w:bCs w:val="false"/>
          <w:i w:val="false"/>
          <w:iCs w:val="false"/>
          <w:color w:val="222222"/>
          <w:sz w:val="21"/>
          <w:szCs w:val="21"/>
        </w:rPr>
        <w:t xml:space="preserve">Competitors let users ask plain-language questions about their own performance and get cited answers (Hootsuite Wisdom, Sprout Trellis). AgentPost's MCP integration is a strong start for power users in Claude/ChatGPT, but there is no equivalent in-app chat experience for users who never leave the AgentPost dashboard.</w:t>
      </w:r>
    </w:p>
    <w:p>
      <w:pPr>
        <w:spacing w:after="100" w:before="220"/>
      </w:pPr>
      <w:r>
        <w:rPr>
          <w:b/>
          <w:bCs/>
          <w:color w:val="1B2A4A"/>
          <w:sz w:val="21"/>
          <w:szCs w:val="21"/>
        </w:rPr>
        <w:t xml:space="preserve">Wider Social Inbox coverage</w:t>
      </w:r>
    </w:p>
    <w:p>
      <w:pPr>
        <w:spacing w:after="160" w:line="276"/>
      </w:pPr>
      <w:r>
        <w:rPr>
          <w:b w:val="false"/>
          <w:bCs w:val="false"/>
          <w:i w:val="false"/>
          <w:iCs w:val="false"/>
          <w:color w:val="222222"/>
          <w:sz w:val="21"/>
          <w:szCs w:val="21"/>
        </w:rPr>
        <w:t xml:space="preserve">The current plan's Social Inbox covers only Instagram, Facebook, and Google Business. Competitors also unify WhatsApp, Telegram, X DMs, and LinkedIn messages.</w:t>
      </w:r>
    </w:p>
    <w:p>
      <w:pPr>
        <w:spacing w:after="100" w:before="220"/>
      </w:pPr>
      <w:r>
        <w:rPr>
          <w:b/>
          <w:bCs/>
          <w:color w:val="1B2A4A"/>
          <w:sz w:val="21"/>
          <w:szCs w:val="21"/>
        </w:rPr>
        <w:t xml:space="preserve">Employee advocacy / UGC amplification</w:t>
      </w:r>
    </w:p>
    <w:p>
      <w:pPr>
        <w:spacing w:after="160" w:line="276"/>
      </w:pPr>
      <w:r>
        <w:rPr>
          <w:b w:val="false"/>
          <w:bCs w:val="false"/>
          <w:i w:val="false"/>
          <w:iCs w:val="false"/>
          <w:color w:val="222222"/>
          <w:sz w:val="21"/>
          <w:szCs w:val="21"/>
        </w:rPr>
        <w:t xml:space="preserve">Hootsuite's “Parliament” turns employees into brand distributors. Nothing equivalent exists in AgentPost's plan, despite it being a low-cost, high-reach growth feature for B2B and agency customers.</w:t>
      </w:r>
    </w:p>
    <w:p>
      <w:pPr>
        <w:spacing w:after="100" w:before="220"/>
      </w:pPr>
      <w:r>
        <w:rPr>
          <w:b/>
          <w:bCs/>
          <w:color w:val="1B2A4A"/>
          <w:sz w:val="21"/>
          <w:szCs w:val="21"/>
        </w:rPr>
        <w:t xml:space="preserve">Local reputation management</w:t>
      </w:r>
    </w:p>
    <w:p>
      <w:pPr>
        <w:spacing w:after="160" w:line="276"/>
      </w:pPr>
      <w:r>
        <w:rPr>
          <w:b w:val="false"/>
          <w:bCs w:val="false"/>
          <w:i w:val="false"/>
          <w:iCs w:val="false"/>
          <w:color w:val="222222"/>
          <w:sz w:val="21"/>
          <w:szCs w:val="21"/>
        </w:rPr>
        <w:t xml:space="preserve">SOCi's core differentiator is automated review response and reputation monitoring for multi-location brands. AgentPost connects Google Business Profile for posts only — there is no review-management or reputation layer.</w:t>
      </w:r>
    </w:p>
    <w:p>
      <w:pPr>
        <w:spacing w:after="100" w:before="220"/>
      </w:pPr>
      <w:r>
        <w:rPr>
          <w:b/>
          <w:bCs/>
          <w:color w:val="1B2A4A"/>
          <w:sz w:val="21"/>
          <w:szCs w:val="21"/>
        </w:rPr>
        <w:t xml:space="preserve">Generative Engine Optimization (GEO) / AI-search visibility</w:t>
      </w:r>
    </w:p>
    <w:p>
      <w:pPr>
        <w:spacing w:after="160" w:line="276"/>
      </w:pPr>
      <w:r>
        <w:rPr>
          <w:b w:val="false"/>
          <w:bCs w:val="false"/>
          <w:i w:val="false"/>
          <w:iCs w:val="false"/>
          <w:color w:val="222222"/>
          <w:sz w:val="21"/>
          <w:szCs w:val="21"/>
        </w:rPr>
        <w:t xml:space="preserve">An emerging, still-unclaimed 2026 category: tracking and improving how often a brand is cited by ChatGPT, Perplexity, Gemini, and Google AI Overviews. No competitor analyzed here fully owns this yet.</w:t>
      </w:r>
    </w:p>
    <w:p>
      <w:pPr>
        <w:spacing w:after="100" w:before="220"/>
      </w:pPr>
      <w:r>
        <w:rPr>
          <w:b/>
          <w:bCs/>
          <w:color w:val="1B2A4A"/>
          <w:sz w:val="21"/>
          <w:szCs w:val="21"/>
        </w:rPr>
        <w:t xml:space="preserve">Social commerce</w:t>
      </w:r>
    </w:p>
    <w:p>
      <w:pPr>
        <w:spacing w:after="160" w:line="276"/>
      </w:pPr>
      <w:r>
        <w:rPr>
          <w:b w:val="false"/>
          <w:bCs w:val="false"/>
          <w:i w:val="false"/>
          <w:iCs w:val="false"/>
          <w:color w:val="222222"/>
          <w:sz w:val="21"/>
          <w:szCs w:val="21"/>
        </w:rPr>
        <w:t xml:space="preserve">Social commerce is ~22% of e-commerce in 2026 and none of AgentPost's current plan touches TikTok Shop, Instagram/Facebook Shop catalogs, or shoppable posts.</w:t>
      </w:r>
    </w:p>
    <w:p>
      <w:pPr>
        <w:spacing w:after="100" w:before="220"/>
      </w:pPr>
      <w:r>
        <w:rPr>
          <w:b/>
          <w:bCs/>
          <w:color w:val="1B2A4A"/>
          <w:sz w:val="21"/>
          <w:szCs w:val="21"/>
        </w:rPr>
        <w:t xml:space="preserve">White-label / reseller mode</w:t>
      </w:r>
    </w:p>
    <w:p>
      <w:pPr>
        <w:spacing w:after="160" w:line="276"/>
      </w:pPr>
      <w:r>
        <w:rPr>
          <w:b w:val="false"/>
          <w:bCs w:val="false"/>
          <w:i w:val="false"/>
          <w:iCs w:val="false"/>
          <w:color w:val="222222"/>
          <w:sz w:val="21"/>
          <w:szCs w:val="21"/>
        </w:rPr>
        <w:t xml:space="preserve">AgentPost supports multiple client Brands but has no white-label option (custom domain/branding for agencies reselling access) — SocialPilot's strongest edge with agencies.</w:t>
      </w:r>
    </w:p>
    <w:p>
      <w:pPr>
        <w:spacing w:after="100" w:before="220"/>
      </w:pPr>
      <w:r>
        <w:rPr>
          <w:b/>
          <w:bCs/>
          <w:color w:val="1B2A4A"/>
          <w:sz w:val="21"/>
          <w:szCs w:val="21"/>
        </w:rPr>
        <w:t xml:space="preserve">Broader niche-channel coverage</w:t>
      </w:r>
    </w:p>
    <w:p>
      <w:pPr>
        <w:spacing w:after="160" w:line="276"/>
      </w:pPr>
      <w:r>
        <w:rPr>
          <w:b w:val="false"/>
          <w:bCs w:val="false"/>
          <w:i w:val="false"/>
          <w:iCs w:val="false"/>
          <w:color w:val="222222"/>
          <w:sz w:val="21"/>
          <w:szCs w:val="21"/>
        </w:rPr>
        <w:t xml:space="preserve">Zoho Social's highest-in-category rating is partly explained by supporting WhatsApp, Telegram, Mastodon, and Bluesky. AgentPost currently supports Bluesky and Threads but not WhatsApp, Telegram, or Discord.</w:t>
      </w:r>
    </w:p>
    <w:p>
      <w:pPr>
        <w:spacing w:after="100" w:before="220"/>
      </w:pPr>
      <w:r>
        <w:rPr>
          <w:b/>
          <w:bCs/>
          <w:color w:val="1B2A4A"/>
          <w:sz w:val="21"/>
          <w:szCs w:val="21"/>
        </w:rPr>
        <w:t xml:space="preserve">Native creative generation</w:t>
      </w:r>
    </w:p>
    <w:p>
      <w:pPr>
        <w:spacing w:after="160" w:line="276"/>
      </w:pPr>
      <w:r>
        <w:rPr>
          <w:b w:val="false"/>
          <w:bCs w:val="false"/>
          <w:i w:val="false"/>
          <w:iCs w:val="false"/>
          <w:color w:val="222222"/>
          <w:sz w:val="21"/>
          <w:szCs w:val="21"/>
        </w:rPr>
        <w:t xml:space="preserve">AgentPost integrates Canva but has no built-in AI image/video generation; several 2026 entrants use native generation as their core freemium hook.</w:t>
      </w:r>
    </w:p>
    <w:p>
      <w:pPr>
        <w:spacing w:after="100" w:before="220"/>
      </w:pPr>
      <w:r>
        <w:rPr>
          <w:b/>
          <w:bCs/>
          <w:color w:val="1B2A4A"/>
          <w:sz w:val="21"/>
          <w:szCs w:val="21"/>
        </w:rPr>
        <w:t xml:space="preserve">Enterprise trust signals</w:t>
      </w:r>
    </w:p>
    <w:p>
      <w:pPr>
        <w:spacing w:after="160" w:line="276"/>
      </w:pPr>
      <w:r>
        <w:rPr>
          <w:b w:val="false"/>
          <w:bCs w:val="false"/>
          <w:i w:val="false"/>
          <w:iCs w:val="false"/>
          <w:color w:val="222222"/>
          <w:sz w:val="21"/>
          <w:szCs w:val="21"/>
        </w:rPr>
        <w:t xml:space="preserve">No mention of SSO/SAML, SOC2/ISO27001 posture, audit logs, or a public security/privacy page — all of which are purchase blockers for EU buyers, agencies, and any enterprise upsell.</w:t>
      </w:r>
    </w:p>
    <w:p>
      <w:r>
        <w:br w:type="page"/>
      </w:r>
    </w:p>
    <w:p>
      <w:pPr>
        <w:pStyle w:val="Heading1"/>
        <w:pBdr>
          <w:bottom w:val="single" w:color="2E6F6E" w:sz="8" w:space="4"/>
        </w:pBdr>
        <w:spacing w:after="200" w:before="480"/>
      </w:pPr>
      <w:r>
        <w:rPr>
          <w:b/>
          <w:bCs/>
          <w:color w:val="1B2A4A"/>
          <w:sz w:val="30"/>
          <w:szCs w:val="30"/>
        </w:rPr>
        <w:t xml:space="preserve">6. New Features to Win Global Customers</w:t>
      </w:r>
    </w:p>
    <w:p>
      <w:pPr>
        <w:spacing w:after="160" w:line="276"/>
      </w:pPr>
      <w:r>
        <w:rPr>
          <w:b w:val="false"/>
          <w:bCs w:val="false"/>
          <w:i w:val="false"/>
          <w:iCs w:val="false"/>
          <w:color w:val="222222"/>
          <w:sz w:val="21"/>
          <w:szCs w:val="21"/>
        </w:rPr>
        <w:t xml:space="preserve">Beyond closing the gaps above, the following are genuine differentiators — ideas none of the analyzed competitors have fully executed, and several lean directly into what the AgentPost name already promises.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8"/>
        <w:gridCol w:w="7292"/>
      </w:tblGrid>
      <w:tr>
        <w:trPr>
          <w:tblHeader/>
        </w:trPr>
        <w:tc>
          <w:tcPr>
            <w:tcW w:type="dxa" w:w="2788"/>
            <w:shd w:fill="1B2A4A" w:val="clear"/>
            <w:tcMar>
              <w:top w:type="dxa" w:w="90"/>
              <w:left w:type="dxa" w:w="110"/>
              <w:bottom w:type="dxa" w:w="90"/>
              <w:right w:type="dxa" w:w="110"/>
            </w:tcMar>
            <w:vAlign w:val="center"/>
          </w:tcPr>
          <w:p>
            <w:pPr>
              <w:spacing w:after="40"/>
            </w:pPr>
            <w:r>
              <w:rPr>
                <w:b/>
                <w:bCs/>
                <w:color w:val="FFFFFF"/>
                <w:sz w:val="19"/>
                <w:szCs w:val="19"/>
              </w:rPr>
              <w:t xml:space="preserve">Feature</w:t>
            </w:r>
          </w:p>
        </w:tc>
        <w:tc>
          <w:tcPr>
            <w:tcW w:type="dxa" w:w="7292"/>
            <w:shd w:fill="1B2A4A" w:val="clear"/>
            <w:tcMar>
              <w:top w:type="dxa" w:w="90"/>
              <w:left w:type="dxa" w:w="110"/>
              <w:bottom w:type="dxa" w:w="90"/>
              <w:right w:type="dxa" w:w="110"/>
            </w:tcMar>
            <w:vAlign w:val="center"/>
          </w:tcPr>
          <w:p>
            <w:pPr>
              <w:spacing w:after="40"/>
            </w:pPr>
            <w:r>
              <w:rPr>
                <w:b/>
                <w:bCs/>
                <w:color w:val="FFFFFF"/>
                <w:sz w:val="19"/>
                <w:szCs w:val="19"/>
              </w:rPr>
              <w:t xml:space="preserve">Why it wins globally</w:t>
            </w:r>
          </w:p>
        </w:tc>
      </w:tr>
      <w:tr>
        <w:tc>
          <w:tcPr>
            <w:tcW w:type="dxa" w:w="2788"/>
            <w:tcMar>
              <w:top w:type="dxa" w:w="90"/>
              <w:left w:type="dxa" w:w="110"/>
              <w:bottom w:type="dxa" w:w="90"/>
              <w:right w:type="dxa" w:w="110"/>
            </w:tcMar>
            <w:vAlign w:val="center"/>
          </w:tcPr>
          <w:p>
            <w:pPr>
              <w:spacing w:after="40"/>
            </w:pPr>
            <w:r>
              <w:rPr>
                <w:b w:val="false"/>
                <w:bCs w:val="false"/>
                <w:color w:val="222222"/>
                <w:sz w:val="19"/>
                <w:szCs w:val="19"/>
              </w:rPr>
              <w:t xml:space="preserve">A real “AgentPost Agent”</w:t>
            </w:r>
          </w:p>
        </w:tc>
        <w:tc>
          <w:tcPr>
            <w:tcW w:type="dxa" w:w="7292"/>
            <w:tcMar>
              <w:top w:type="dxa" w:w="90"/>
              <w:left w:type="dxa" w:w="110"/>
              <w:bottom w:type="dxa" w:w="90"/>
              <w:right w:type="dxa" w:w="110"/>
            </w:tcMar>
            <w:vAlign w:val="center"/>
          </w:tcPr>
          <w:p>
            <w:pPr>
              <w:spacing w:after="40"/>
            </w:pPr>
            <w:r>
              <w:rPr>
                <w:b w:val="false"/>
                <w:bCs w:val="false"/>
                <w:color w:val="222222"/>
                <w:sz w:val="19"/>
                <w:szCs w:val="19"/>
              </w:rPr>
              <w:t xml:space="preserve">An autonomous content agent that, with permission, researches trending topics and competitor moves in a brand's niche, drafts a week of on-brand posts, and asks for one-tap approval — not a chatbot bolted onto a scheduler, but a literal embodiment of the product's name. This is the single strongest brand-to-product alignment opportunity available.</w:t>
            </w:r>
          </w:p>
        </w:tc>
      </w:tr>
      <w:tr>
        <w:tc>
          <w:tcPr>
            <w:tcW w:type="dxa" w:w="278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GEO Score / AI Visibility Tracker</w:t>
            </w:r>
          </w:p>
        </w:tc>
        <w:tc>
          <w:tcPr>
            <w:tcW w:type="dxa" w:w="7292"/>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Track and help improve how often a brand is cited by ChatGPT, Perplexity, Gemini, Claude, and Google AI Overviews. First-mover advantage in a category nobody has claimed.</w:t>
            </w:r>
          </w:p>
        </w:tc>
      </w:tr>
      <w:tr>
        <w:tc>
          <w:tcPr>
            <w:tcW w:type="dxa" w:w="2788"/>
            <w:tcMar>
              <w:top w:type="dxa" w:w="90"/>
              <w:left w:type="dxa" w:w="110"/>
              <w:bottom w:type="dxa" w:w="90"/>
              <w:right w:type="dxa" w:w="110"/>
            </w:tcMar>
            <w:vAlign w:val="center"/>
          </w:tcPr>
          <w:p>
            <w:pPr>
              <w:spacing w:after="40"/>
            </w:pPr>
            <w:r>
              <w:rPr>
                <w:b w:val="false"/>
                <w:bCs w:val="false"/>
                <w:color w:val="222222"/>
                <w:sz w:val="19"/>
                <w:szCs w:val="19"/>
              </w:rPr>
              <w:t xml:space="preserve">Social commerce hub</w:t>
            </w:r>
          </w:p>
        </w:tc>
        <w:tc>
          <w:tcPr>
            <w:tcW w:type="dxa" w:w="7292"/>
            <w:tcMar>
              <w:top w:type="dxa" w:w="90"/>
              <w:left w:type="dxa" w:w="110"/>
              <w:bottom w:type="dxa" w:w="90"/>
              <w:right w:type="dxa" w:w="110"/>
            </w:tcMar>
            <w:vAlign w:val="center"/>
          </w:tcPr>
          <w:p>
            <w:pPr>
              <w:spacing w:after="40"/>
            </w:pPr>
            <w:r>
              <w:rPr>
                <w:b w:val="false"/>
                <w:bCs w:val="false"/>
                <w:color w:val="222222"/>
                <w:sz w:val="19"/>
                <w:szCs w:val="19"/>
              </w:rPr>
              <w:t xml:space="preserve">TikTok Shop and Instagram/Facebook Shop catalog sync, a UGC-to-shoppable-post pipeline, and affiliate/creator-marketplace tracking.</w:t>
            </w:r>
          </w:p>
        </w:tc>
      </w:tr>
      <w:tr>
        <w:tc>
          <w:tcPr>
            <w:tcW w:type="dxa" w:w="278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Built-in AI creative studio</w:t>
            </w:r>
          </w:p>
        </w:tc>
        <w:tc>
          <w:tcPr>
            <w:tcW w:type="dxa" w:w="7292"/>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Native AI image and short-form video generation so casual users never need to leave AgentPost for basic assets — a strong freemium hook, especially in mobile-first regions.</w:t>
            </w:r>
          </w:p>
        </w:tc>
      </w:tr>
      <w:tr>
        <w:tc>
          <w:tcPr>
            <w:tcW w:type="dxa" w:w="2788"/>
            <w:tcMar>
              <w:top w:type="dxa" w:w="90"/>
              <w:left w:type="dxa" w:w="110"/>
              <w:bottom w:type="dxa" w:w="90"/>
              <w:right w:type="dxa" w:w="110"/>
            </w:tcMar>
            <w:vAlign w:val="center"/>
          </w:tcPr>
          <w:p>
            <w:pPr>
              <w:spacing w:after="40"/>
            </w:pPr>
            <w:r>
              <w:rPr>
                <w:b w:val="false"/>
                <w:bCs w:val="false"/>
                <w:color w:val="222222"/>
                <w:sz w:val="19"/>
                <w:szCs w:val="19"/>
              </w:rPr>
              <w:t xml:space="preserve">White-label / reseller tier</w:t>
            </w:r>
          </w:p>
        </w:tc>
        <w:tc>
          <w:tcPr>
            <w:tcW w:type="dxa" w:w="7292"/>
            <w:tcMar>
              <w:top w:type="dxa" w:w="90"/>
              <w:left w:type="dxa" w:w="110"/>
              <w:bottom w:type="dxa" w:w="90"/>
              <w:right w:type="dxa" w:w="110"/>
            </w:tcMar>
            <w:vAlign w:val="center"/>
          </w:tcPr>
          <w:p>
            <w:pPr>
              <w:spacing w:after="40"/>
            </w:pPr>
            <w:r>
              <w:rPr>
                <w:b w:val="false"/>
                <w:bCs w:val="false"/>
                <w:color w:val="222222"/>
                <w:sz w:val="19"/>
                <w:szCs w:val="19"/>
              </w:rPr>
              <w:t xml:space="preserve">Custom domain, custom branding, and API access aimed squarely at agencies — the highest-LTV segment identified in this analysis.</w:t>
            </w:r>
          </w:p>
        </w:tc>
      </w:tr>
      <w:tr>
        <w:tc>
          <w:tcPr>
            <w:tcW w:type="dxa" w:w="278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Reputation &amp; review management agent</w:t>
            </w:r>
          </w:p>
        </w:tc>
        <w:tc>
          <w:tcPr>
            <w:tcW w:type="dxa" w:w="7292"/>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Automated monitoring and AI-assisted responses for Google, Facebook, and Trustpilot reviews, bundled with the existing Google Business Profile connection — extends AgentPost into the local-business and franchise segment SOCi currently owns alone.</w:t>
            </w:r>
          </w:p>
        </w:tc>
      </w:tr>
      <w:tr>
        <w:tc>
          <w:tcPr>
            <w:tcW w:type="dxa" w:w="2788"/>
            <w:tcMar>
              <w:top w:type="dxa" w:w="90"/>
              <w:left w:type="dxa" w:w="110"/>
              <w:bottom w:type="dxa" w:w="90"/>
              <w:right w:type="dxa" w:w="110"/>
            </w:tcMar>
            <w:vAlign w:val="center"/>
          </w:tcPr>
          <w:p>
            <w:pPr>
              <w:spacing w:after="40"/>
            </w:pPr>
            <w:r>
              <w:rPr>
                <w:b w:val="false"/>
                <w:bCs w:val="false"/>
                <w:color w:val="222222"/>
                <w:sz w:val="19"/>
                <w:szCs w:val="19"/>
              </w:rPr>
              <w:t xml:space="preserve">WhatsApp, Telegram, and Discord in the Social Inbox</w:t>
            </w:r>
          </w:p>
        </w:tc>
        <w:tc>
          <w:tcPr>
            <w:tcW w:type="dxa" w:w="7292"/>
            <w:tcMar>
              <w:top w:type="dxa" w:w="90"/>
              <w:left w:type="dxa" w:w="110"/>
              <w:bottom w:type="dxa" w:w="90"/>
              <w:right w:type="dxa" w:w="110"/>
            </w:tcMar>
            <w:vAlign w:val="center"/>
          </w:tcPr>
          <w:p>
            <w:pPr>
              <w:spacing w:after="40"/>
            </w:pPr>
            <w:r>
              <w:rPr>
                <w:b w:val="false"/>
                <w:bCs w:val="false"/>
                <w:color w:val="222222"/>
                <w:sz w:val="19"/>
                <w:szCs w:val="19"/>
              </w:rPr>
              <w:t xml:space="preserve">Closes the channel-coverage gap with Zoho Social, the highest-rated competitor in the category, and matches how SMBs actually message customers outside North America.</w:t>
            </w:r>
          </w:p>
        </w:tc>
      </w:tr>
      <w:tr>
        <w:tc>
          <w:tcPr>
            <w:tcW w:type="dxa" w:w="278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AgentPost Academy</w:t>
            </w:r>
          </w:p>
        </w:tc>
        <w:tc>
          <w:tcPr>
            <w:tcW w:type="dxa" w:w="7292"/>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A free certification course on social media management, mirroring the organic-traffic and lead-generation engines Buffer's and Hootsuite's academies already run — doubles as an SEO/GEO content asset.</w:t>
            </w:r>
          </w:p>
        </w:tc>
      </w:tr>
      <w:tr>
        <w:tc>
          <w:tcPr>
            <w:tcW w:type="dxa" w:w="2788"/>
            <w:tcMar>
              <w:top w:type="dxa" w:w="90"/>
              <w:left w:type="dxa" w:w="110"/>
              <w:bottom w:type="dxa" w:w="90"/>
              <w:right w:type="dxa" w:w="110"/>
            </w:tcMar>
            <w:vAlign w:val="center"/>
          </w:tcPr>
          <w:p>
            <w:pPr>
              <w:spacing w:after="40"/>
            </w:pPr>
            <w:r>
              <w:rPr>
                <w:b w:val="false"/>
                <w:bCs w:val="false"/>
                <w:color w:val="222222"/>
                <w:sz w:val="19"/>
                <w:szCs w:val="19"/>
              </w:rPr>
              <w:t xml:space="preserve">Open integration marketplace</w:t>
            </w:r>
          </w:p>
        </w:tc>
        <w:tc>
          <w:tcPr>
            <w:tcW w:type="dxa" w:w="7292"/>
            <w:tcMar>
              <w:top w:type="dxa" w:w="90"/>
              <w:left w:type="dxa" w:w="110"/>
              <w:bottom w:type="dxa" w:w="90"/>
              <w:right w:type="dxa" w:w="110"/>
            </w:tcMar>
            <w:vAlign w:val="center"/>
          </w:tcPr>
          <w:p>
            <w:pPr>
              <w:spacing w:after="40"/>
            </w:pPr>
            <w:r>
              <w:rPr>
                <w:b w:val="false"/>
                <w:bCs w:val="false"/>
                <w:color w:val="222222"/>
                <w:sz w:val="19"/>
                <w:szCs w:val="19"/>
              </w:rPr>
              <w:t xml:space="preserve">A public API and app marketplace (Zapier-style) so third parties build on AgentPost, turning it from a tool into a platform with network effects.</w:t>
            </w:r>
          </w:p>
        </w:tc>
      </w:tr>
      <w:tr>
        <w:tc>
          <w:tcPr>
            <w:tcW w:type="dxa" w:w="2788"/>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In-product referral program with revenue share</w:t>
            </w:r>
          </w:p>
        </w:tc>
        <w:tc>
          <w:tcPr>
            <w:tcW w:type="dxa" w:w="7292"/>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Give agencies and power users a direct financial incentive to refer clients — the fastest, cheapest global distribution channel available to a pre-revenue company.</w:t>
            </w:r>
          </w:p>
        </w:tc>
      </w:tr>
    </w:tbl>
    <w:p>
      <w:r>
        <w:br w:type="page"/>
      </w:r>
    </w:p>
    <w:p>
      <w:pPr>
        <w:pStyle w:val="Heading1"/>
        <w:pBdr>
          <w:bottom w:val="single" w:color="2E6F6E" w:sz="8" w:space="4"/>
        </w:pBdr>
        <w:spacing w:after="200" w:before="480"/>
      </w:pPr>
      <w:r>
        <w:rPr>
          <w:b/>
          <w:bCs/>
          <w:color w:val="1B2A4A"/>
          <w:sz w:val="30"/>
          <w:szCs w:val="30"/>
        </w:rPr>
        <w:t xml:space="preserve">7. Global Pricing &amp; Packaging Recommendations</w:t>
      </w:r>
    </w:p>
    <w:p>
      <w:pPr>
        <w:spacing w:after="160" w:line="276"/>
      </w:pPr>
      <w:r>
        <w:rPr>
          <w:b w:val="false"/>
          <w:bCs w:val="false"/>
          <w:i w:val="false"/>
          <w:iCs w:val="false"/>
          <w:color w:val="222222"/>
          <w:sz w:val="21"/>
          <w:szCs w:val="21"/>
        </w:rPr>
        <w:t xml:space="preserve">Pricing research is unambiguous on one point: how a SaaS product prices internationally has a larger effect on global growth than almost any single feature decision.</w:t>
      </w:r>
    </w:p>
    <w:p>
      <w:pPr>
        <w:pStyle w:val="ListParagraph"/>
        <w:numPr>
          <w:ilvl w:val="0"/>
          <w:numId w:val="2"/>
        </w:numPr>
        <w:spacing w:after="80" w:line="264"/>
      </w:pPr>
      <w:r>
        <w:rPr>
          <w:color w:val="222222"/>
          <w:sz w:val="21"/>
          <w:szCs w:val="21"/>
        </w:rPr>
        <w:t xml:space="preserve">Purchasing-power-parity (PPP) pricing — charging less in lower-income markets, not just converting currency — produces up to 4.7x higher conversion in emerging markets versus flat USD pricing converted at the exchange rate.</w:t>
      </w:r>
    </w:p>
    <w:p>
      <w:pPr>
        <w:pStyle w:val="ListParagraph"/>
        <w:numPr>
          <w:ilvl w:val="0"/>
          <w:numId w:val="2"/>
        </w:numPr>
        <w:spacing w:after="80" w:line="264"/>
      </w:pPr>
      <w:r>
        <w:rPr>
          <w:color w:val="222222"/>
          <w:sz w:val="21"/>
          <w:szCs w:val="21"/>
        </w:rPr>
        <w:t xml:space="preserve">Displaying prices in the customer's local currency (not just USD) increases conversion by roughly 25% on average; companies with multi-currency pricing grow about 7% faster than those without.</w:t>
      </w:r>
    </w:p>
    <w:p>
      <w:pPr>
        <w:pStyle w:val="ListParagraph"/>
        <w:numPr>
          <w:ilvl w:val="0"/>
          <w:numId w:val="2"/>
        </w:numPr>
        <w:spacing w:after="80" w:line="264"/>
      </w:pPr>
      <w:r>
        <w:rPr>
          <w:color w:val="222222"/>
          <w:sz w:val="21"/>
          <w:szCs w:val="21"/>
        </w:rPr>
        <w:t xml:space="preserve">Simple currency conversion, without true localized pricing, causes roughly 30% lower conversion in international markets compared to genuine local pricing strategies.</w:t>
      </w:r>
    </w:p>
    <w:p>
      <w:pPr>
        <w:pStyle w:val="ListParagraph"/>
        <w:numPr>
          <w:ilvl w:val="0"/>
          <w:numId w:val="2"/>
        </w:numPr>
        <w:spacing w:after="80" w:line="264"/>
      </w:pPr>
      <w:r>
        <w:rPr>
          <w:color w:val="222222"/>
          <w:sz w:val="21"/>
          <w:szCs w:val="21"/>
        </w:rPr>
        <w:t xml:space="preserve">Local payment methods matter as much as price: PayPal and cards alone will not convert well in markets that default to Pix (Brazil), UPI (India), Mercado Pago (LatAm broadly), or mobile money (Africa).</w:t>
      </w:r>
    </w:p>
    <w:p>
      <w:pPr>
        <w:pBdr>
          <w:left w:val="single" w:color="2E6F6E" w:sz="24" w:space="8"/>
        </w:pBdr>
        <w:shd w:fill="EFF3F5" w:val="clear"/>
        <w:spacing w:after="200" w:before="120" w:line="264"/>
      </w:pPr>
      <w:r>
        <w:rPr>
          <w:b/>
          <w:bCs/>
          <w:color w:val="2E6F6E"/>
          <w:sz w:val="21"/>
          <w:szCs w:val="21"/>
        </w:rPr>
        <w:t xml:space="preserve">Recommendation:  </w:t>
      </w:r>
      <w:r>
        <w:rPr>
          <w:color w:val="222222"/>
          <w:sz w:val="21"/>
          <w:szCs w:val="21"/>
        </w:rPr>
        <w:t xml:space="preserve">Keep the current plan's tier structure (Free / Starter / Advanced / Custom) but (1) localize display currency and pricing by PPP band from launch, not as a later expansion project, (2) add at least 2–3 regional payment rails beyond cards/PayPal for the first beachhead regions chosen, and (3) keep the free tier genuinely useful — it is the primary growth engine in every price-sensitive market.</w:t>
      </w:r>
    </w:p>
    <w:p>
      <w:r>
        <w:br w:type="page"/>
      </w:r>
    </w:p>
    <w:p>
      <w:pPr>
        <w:pStyle w:val="Heading1"/>
        <w:pBdr>
          <w:bottom w:val="single" w:color="2E6F6E" w:sz="8" w:space="4"/>
        </w:pBdr>
        <w:spacing w:after="200" w:before="480"/>
      </w:pPr>
      <w:r>
        <w:rPr>
          <w:b/>
          <w:bCs/>
          <w:color w:val="1B2A4A"/>
          <w:sz w:val="30"/>
          <w:szCs w:val="30"/>
        </w:rPr>
        <w:t xml:space="preserve">8. Go-To-Market: Do's and Don'ts</w:t>
      </w:r>
    </w:p>
    <w:p>
      <w:pPr>
        <w:pStyle w:val="Heading2"/>
        <w:spacing w:after="140" w:before="320"/>
      </w:pPr>
      <w:r>
        <w:rPr>
          <w:b/>
          <w:bCs/>
          <w:color w:val="2E6F6E"/>
          <w:sz w:val="24"/>
          <w:szCs w:val="24"/>
        </w:rPr>
        <w:t xml:space="preserve">Do</w:t>
      </w:r>
    </w:p>
    <w:p>
      <w:pPr>
        <w:pStyle w:val="ListParagraph"/>
        <w:numPr>
          <w:ilvl w:val="0"/>
          <w:numId w:val="2"/>
        </w:numPr>
        <w:spacing w:after="80" w:line="264"/>
      </w:pPr>
      <w:r>
        <w:rPr>
          <w:color w:val="222222"/>
          <w:sz w:val="21"/>
          <w:szCs w:val="21"/>
        </w:rPr>
        <w:t xml:space="preserve">Lead with a genuinely generous, no-credit-card-required free tier — the single biggest global conversion lever, especially in price-sensitive regions.</w:t>
      </w:r>
    </w:p>
    <w:p>
      <w:pPr>
        <w:pStyle w:val="ListParagraph"/>
        <w:numPr>
          <w:ilvl w:val="0"/>
          <w:numId w:val="2"/>
        </w:numPr>
        <w:spacing w:after="80" w:line="264"/>
      </w:pPr>
      <w:r>
        <w:rPr>
          <w:color w:val="222222"/>
          <w:sz w:val="21"/>
          <w:szCs w:val="21"/>
        </w:rPr>
        <w:t xml:space="preserve">Localize pricing by purchasing-power parity and add local payment rails before spending on paid ads in a new region.</w:t>
      </w:r>
    </w:p>
    <w:p>
      <w:pPr>
        <w:pStyle w:val="ListParagraph"/>
        <w:numPr>
          <w:ilvl w:val="0"/>
          <w:numId w:val="2"/>
        </w:numPr>
        <w:spacing w:after="80" w:line="264"/>
      </w:pPr>
      <w:r>
        <w:rPr>
          <w:color w:val="222222"/>
          <w:sz w:val="21"/>
          <w:szCs w:val="21"/>
        </w:rPr>
        <w:t xml:space="preserve">Rewrite all product documentation and marketing copy from scratch in AgentPost's own voice this week — remove every trace of competitor (Metricool) text before it is shown to anyone outside the team.</w:t>
      </w:r>
    </w:p>
    <w:p>
      <w:pPr>
        <w:pStyle w:val="ListParagraph"/>
        <w:numPr>
          <w:ilvl w:val="0"/>
          <w:numId w:val="2"/>
        </w:numPr>
        <w:spacing w:after="80" w:line="264"/>
      </w:pPr>
      <w:r>
        <w:rPr>
          <w:color w:val="222222"/>
          <w:sz w:val="21"/>
          <w:szCs w:val="21"/>
        </w:rPr>
        <w:t xml:space="preserve">Launch on Product Hunt, relevant subreddits (r/SaaS, r/socialmedia, r/agency), and lifetime-deal marketplaces (e.g., AppSumo-style sites) with a real, present founder — not just a link drop.</w:t>
      </w:r>
    </w:p>
    <w:p>
      <w:pPr>
        <w:pStyle w:val="ListParagraph"/>
        <w:numPr>
          <w:ilvl w:val="0"/>
          <w:numId w:val="2"/>
        </w:numPr>
        <w:spacing w:after="80" w:line="264"/>
      </w:pPr>
      <w:r>
        <w:rPr>
          <w:color w:val="222222"/>
          <w:sz w:val="21"/>
          <w:szCs w:val="21"/>
        </w:rPr>
        <w:t xml:space="preserve">Build an SEO/GEO content engine: 2 posts per week of comparison (“AgentPost vs. X”) and tutorial content — this channel alone drives roughly 41% of inbound trial signups for early-stage SaaS companies.</w:t>
      </w:r>
    </w:p>
    <w:p>
      <w:pPr>
        <w:pStyle w:val="ListParagraph"/>
        <w:numPr>
          <w:ilvl w:val="0"/>
          <w:numId w:val="2"/>
        </w:numPr>
        <w:spacing w:after="80" w:line="264"/>
      </w:pPr>
      <w:r>
        <w:rPr>
          <w:color w:val="222222"/>
          <w:sz w:val="21"/>
          <w:szCs w:val="21"/>
        </w:rPr>
        <w:t xml:space="preserve">Get GEO-ready immediately: clean structured data, a clear comparison/about page, and unambiguous product facts so AI assistants (ChatGPT, Perplexity, Gemini) can accurately cite AgentPost when users ask for recommendations.</w:t>
      </w:r>
    </w:p>
    <w:p>
      <w:pPr>
        <w:pStyle w:val="ListParagraph"/>
        <w:numPr>
          <w:ilvl w:val="0"/>
          <w:numId w:val="2"/>
        </w:numPr>
        <w:spacing w:after="80" w:line="264"/>
      </w:pPr>
      <w:r>
        <w:rPr>
          <w:color w:val="222222"/>
          <w:sz w:val="21"/>
          <w:szCs w:val="21"/>
        </w:rPr>
        <w:t xml:space="preserve">Court agencies directly and give them white-label + referral economics — one agency relationship can bring 10–50 client Brands, the fastest way to compound MRR.</w:t>
      </w:r>
    </w:p>
    <w:p>
      <w:pPr>
        <w:pStyle w:val="ListParagraph"/>
        <w:numPr>
          <w:ilvl w:val="0"/>
          <w:numId w:val="2"/>
        </w:numPr>
        <w:spacing w:after="80" w:line="264"/>
      </w:pPr>
      <w:r>
        <w:rPr>
          <w:color w:val="222222"/>
          <w:sz w:val="21"/>
          <w:szCs w:val="21"/>
        </w:rPr>
        <w:t xml:space="preserve">Start a public security/privacy page and a GDPR-compliance narrative early — it is cheap to start and is a hard purchase blocker for EU and agency/enterprise buyers if missing.</w:t>
      </w:r>
    </w:p>
    <w:p>
      <w:pPr>
        <w:pStyle w:val="ListParagraph"/>
        <w:numPr>
          <w:ilvl w:val="0"/>
          <w:numId w:val="2"/>
        </w:numPr>
        <w:spacing w:after="80" w:line="264"/>
      </w:pPr>
      <w:r>
        <w:rPr>
          <w:color w:val="222222"/>
          <w:sz w:val="21"/>
          <w:szCs w:val="21"/>
        </w:rPr>
        <w:t xml:space="preserve">Ship in multiple languages and support non-US payment methods before running international ad spend in a given region.</w:t>
      </w:r>
    </w:p>
    <w:p>
      <w:pPr>
        <w:pStyle w:val="ListParagraph"/>
        <w:numPr>
          <w:ilvl w:val="0"/>
          <w:numId w:val="2"/>
        </w:numPr>
        <w:spacing w:after="80" w:line="264"/>
      </w:pPr>
      <w:r>
        <w:rPr>
          <w:color w:val="222222"/>
          <w:sz w:val="21"/>
          <w:szCs w:val="21"/>
        </w:rPr>
        <w:t xml:space="preserve">Instrument activation, week-1 retention, and upgrade triggers from day one — in this category, free-to-paid conversion determines survival far more than raw signups.</w:t>
      </w:r>
    </w:p>
    <w:p>
      <w:pPr>
        <w:pStyle w:val="Heading2"/>
        <w:spacing w:after="140" w:before="320"/>
      </w:pPr>
      <w:r>
        <w:rPr>
          <w:b/>
          <w:bCs/>
          <w:color w:val="2E6F6E"/>
          <w:sz w:val="24"/>
          <w:szCs w:val="24"/>
        </w:rPr>
        <w:t xml:space="preserve">Don't</w:t>
      </w:r>
    </w:p>
    <w:p>
      <w:pPr>
        <w:pStyle w:val="ListParagraph"/>
        <w:numPr>
          <w:ilvl w:val="0"/>
          <w:numId w:val="2"/>
        </w:numPr>
        <w:spacing w:after="80" w:line="264"/>
      </w:pPr>
      <w:r>
        <w:rPr>
          <w:color w:val="222222"/>
          <w:sz w:val="21"/>
          <w:szCs w:val="21"/>
        </w:rPr>
        <w:t xml:space="preserve">Don't publish rebranded competitor documentation, screenshots, or feature copy as your own — fix this before any public launch activity.</w:t>
      </w:r>
    </w:p>
    <w:p>
      <w:pPr>
        <w:pStyle w:val="ListParagraph"/>
        <w:numPr>
          <w:ilvl w:val="0"/>
          <w:numId w:val="2"/>
        </w:numPr>
        <w:spacing w:after="80" w:line="264"/>
      </w:pPr>
      <w:r>
        <w:rPr>
          <w:color w:val="222222"/>
          <w:sz w:val="21"/>
          <w:szCs w:val="21"/>
        </w:rPr>
        <w:t xml:space="preserve">Don't try to out-enterprise Hootsuite or Sprout Social on price or feature depth — win the SMB/creator/agency long tail where incumbents are weakest and most resented for cost.</w:t>
      </w:r>
    </w:p>
    <w:p>
      <w:pPr>
        <w:pStyle w:val="ListParagraph"/>
        <w:numPr>
          <w:ilvl w:val="0"/>
          <w:numId w:val="2"/>
        </w:numPr>
        <w:spacing w:after="80" w:line="264"/>
      </w:pPr>
      <w:r>
        <w:rPr>
          <w:color w:val="222222"/>
          <w:sz w:val="21"/>
          <w:szCs w:val="21"/>
        </w:rPr>
        <w:t xml:space="preserve">Don't launch in 20 countries at once — pick 2–3 beachhead markets (e.g., English-speaking SMBs plus one high-growth, price-sensitive region) and win there before expanding further.</w:t>
      </w:r>
    </w:p>
    <w:p>
      <w:pPr>
        <w:pStyle w:val="ListParagraph"/>
        <w:numPr>
          <w:ilvl w:val="0"/>
          <w:numId w:val="2"/>
        </w:numPr>
        <w:spacing w:after="80" w:line="264"/>
      </w:pPr>
      <w:r>
        <w:rPr>
          <w:color w:val="222222"/>
          <w:sz w:val="21"/>
          <w:szCs w:val="21"/>
        </w:rPr>
        <w:t xml:space="preserve">Don't rely primarily on paid search/social ads for early growth — CAC on “social media management tool” keywords is dominated by incumbents' budgets; win via content, community, and free-tier virality first.</w:t>
      </w:r>
    </w:p>
    <w:p>
      <w:pPr>
        <w:pStyle w:val="ListParagraph"/>
        <w:numPr>
          <w:ilvl w:val="0"/>
          <w:numId w:val="2"/>
        </w:numPr>
        <w:spacing w:after="80" w:line="264"/>
      </w:pPr>
      <w:r>
        <w:rPr>
          <w:color w:val="222222"/>
          <w:sz w:val="21"/>
          <w:szCs w:val="21"/>
        </w:rPr>
        <w:t xml:space="preserve">Don't gate core value (basic scheduling, one Brand, a handful of competitor tracks) behind a paywall — the free tier has to be genuinely useful or it will not spread.</w:t>
      </w:r>
    </w:p>
    <w:p>
      <w:pPr>
        <w:pStyle w:val="ListParagraph"/>
        <w:numPr>
          <w:ilvl w:val="0"/>
          <w:numId w:val="2"/>
        </w:numPr>
        <w:spacing w:after="80" w:line="264"/>
      </w:pPr>
      <w:r>
        <w:rPr>
          <w:color w:val="222222"/>
          <w:sz w:val="21"/>
          <w:szCs w:val="21"/>
        </w:rPr>
        <w:t xml:space="preserve">Don't build on unofficial or unstable platform APIs — Meta, TikTok, and X change developer terms often, and an account or API suspension can kill the business overnight.</w:t>
      </w:r>
    </w:p>
    <w:p>
      <w:pPr>
        <w:pStyle w:val="ListParagraph"/>
        <w:numPr>
          <w:ilvl w:val="0"/>
          <w:numId w:val="2"/>
        </w:numPr>
        <w:spacing w:after="80" w:line="264"/>
      </w:pPr>
      <w:r>
        <w:rPr>
          <w:color w:val="222222"/>
          <w:sz w:val="21"/>
          <w:szCs w:val="21"/>
        </w:rPr>
        <w:t xml:space="preserve">Don't neglect mobile — a large share of new-region creators (Southeast Asia, LatAm, Africa) are mobile-first; a weak app loses that segment immediately.</w:t>
      </w:r>
    </w:p>
    <w:p>
      <w:pPr>
        <w:pStyle w:val="ListParagraph"/>
        <w:numPr>
          <w:ilvl w:val="0"/>
          <w:numId w:val="2"/>
        </w:numPr>
        <w:spacing w:after="80" w:line="264"/>
      </w:pPr>
      <w:r>
        <w:rPr>
          <w:color w:val="222222"/>
          <w:sz w:val="21"/>
          <w:szCs w:val="21"/>
        </w:rPr>
        <w:t xml:space="preserve">Don't market “AI agent” as a buzzword without shipping real autonomous capability — 2026 buyers are AI-fatigued and can tell marketing language from a working feature.</w:t>
      </w:r>
    </w:p>
    <w:p>
      <w:r>
        <w:br w:type="page"/>
      </w:r>
    </w:p>
    <w:p>
      <w:pPr>
        <w:pStyle w:val="Heading1"/>
        <w:pBdr>
          <w:bottom w:val="single" w:color="2E6F6E" w:sz="8" w:space="4"/>
        </w:pBdr>
        <w:spacing w:after="200" w:before="480"/>
      </w:pPr>
      <w:r>
        <w:rPr>
          <w:b/>
          <w:bCs/>
          <w:color w:val="1B2A4A"/>
          <w:sz w:val="30"/>
          <w:szCs w:val="30"/>
        </w:rPr>
        <w:t xml:space="preserve">9. Get Customers Starting Today — 72-Hour Action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6"/>
        <w:gridCol w:w="8364"/>
      </w:tblGrid>
      <w:tr>
        <w:trPr>
          <w:tblHeader/>
        </w:trPr>
        <w:tc>
          <w:tcPr>
            <w:tcW w:type="dxa" w:w="1716"/>
            <w:shd w:fill="1B2A4A" w:val="clear"/>
            <w:tcMar>
              <w:top w:type="dxa" w:w="90"/>
              <w:left w:type="dxa" w:w="110"/>
              <w:bottom w:type="dxa" w:w="90"/>
              <w:right w:type="dxa" w:w="110"/>
            </w:tcMar>
            <w:vAlign w:val="center"/>
          </w:tcPr>
          <w:p>
            <w:pPr>
              <w:spacing w:after="40"/>
            </w:pPr>
            <w:r>
              <w:rPr>
                <w:b/>
                <w:bCs/>
                <w:color w:val="FFFFFF"/>
                <w:sz w:val="19"/>
                <w:szCs w:val="19"/>
              </w:rPr>
              <w:t xml:space="preserve">When</w:t>
            </w:r>
          </w:p>
        </w:tc>
        <w:tc>
          <w:tcPr>
            <w:tcW w:type="dxa" w:w="8364"/>
            <w:shd w:fill="1B2A4A" w:val="clear"/>
            <w:tcMar>
              <w:top w:type="dxa" w:w="90"/>
              <w:left w:type="dxa" w:w="110"/>
              <w:bottom w:type="dxa" w:w="90"/>
              <w:right w:type="dxa" w:w="110"/>
            </w:tcMar>
            <w:vAlign w:val="center"/>
          </w:tcPr>
          <w:p>
            <w:pPr>
              <w:spacing w:after="40"/>
            </w:pPr>
            <w:r>
              <w:rPr>
                <w:b/>
                <w:bCs/>
                <w:color w:val="FFFFFF"/>
                <w:sz w:val="19"/>
                <w:szCs w:val="19"/>
              </w:rPr>
              <w:t xml:space="preserve">Action</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Today</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Publish a truthful, fully original landing page and free-tier signup (no credit card) with 2–3 honest comparison pages (“AgentPost vs. Hootsuite,” “AgentPost vs. Buffer”) for SEO and GEO from day one.</w:t>
            </w:r>
          </w:p>
        </w:tc>
      </w:tr>
      <w:tr>
        <w:tc>
          <w:tcPr>
            <w:tcW w:type="dxa" w:w="1716"/>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Today</w:t>
            </w:r>
          </w:p>
        </w:tc>
        <w:tc>
          <w:tcPr>
            <w:tcW w:type="dxa" w:w="8364"/>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Post a genuine “building in public” update on X/LinkedIn and 1–2 relevant communities (r/SaaS, r/socialmedia, agency Slack/Discord groups) — founder voice, not a sales pitch.</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Today – Tomorrow</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Personally reach out to 20–30 warm contacts (freelancers, small agencies, creators) offering free onboarding plus a founder call in exchange for honest feedback and, if earned, a testimonial.</w:t>
            </w:r>
          </w:p>
        </w:tc>
      </w:tr>
      <w:tr>
        <w:tc>
          <w:tcPr>
            <w:tcW w:type="dxa" w:w="1716"/>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Day 2</w:t>
            </w:r>
          </w:p>
        </w:tc>
        <w:tc>
          <w:tcPr>
            <w:tcW w:type="dxa" w:w="8364"/>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Prepare a Product Hunt launch (schedule for a Tuesday–Thursday): demo video, screenshots, and a mobilized team/early-user group ready to comment with real feedback, not just upvote.</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Day 2–3</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List a limited founder/lifetime deal on an AppSumo-style marketplace — a fast, proven way to get early revenue and reviews specifically for social-media tools.</w:t>
            </w:r>
          </w:p>
        </w:tc>
      </w:tr>
      <w:tr>
        <w:tc>
          <w:tcPr>
            <w:tcW w:type="dxa" w:w="1716"/>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Ongoing</w:t>
            </w:r>
          </w:p>
        </w:tc>
        <w:tc>
          <w:tcPr>
            <w:tcW w:type="dxa" w:w="8364"/>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Publish 2x/week comparison and tutorial content targeting “[competitor] alternative” and “best social media tool for [niche/region]” searches.</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Ongoing</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Personally onboard the first 50 customers — at this stage, that direct feedback is worth more than any dashboard metric.</w:t>
            </w:r>
          </w:p>
        </w:tc>
      </w:tr>
    </w:tbl>
    <w:p>
      <w:r>
        <w:br w:type="page"/>
      </w:r>
    </w:p>
    <w:p>
      <w:pPr>
        <w:pStyle w:val="Heading1"/>
        <w:pBdr>
          <w:bottom w:val="single" w:color="2E6F6E" w:sz="8" w:space="4"/>
        </w:pBdr>
        <w:spacing w:after="200" w:before="480"/>
      </w:pPr>
      <w:r>
        <w:rPr>
          <w:b/>
          <w:bCs/>
          <w:color w:val="1B2A4A"/>
          <w:sz w:val="30"/>
          <w:szCs w:val="30"/>
        </w:rPr>
        <w:t xml:space="preserve">10. Summary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6"/>
        <w:gridCol w:w="8364"/>
      </w:tblGrid>
      <w:tr>
        <w:trPr>
          <w:tblHeader/>
        </w:trPr>
        <w:tc>
          <w:tcPr>
            <w:tcW w:type="dxa" w:w="1716"/>
            <w:shd w:fill="1B2A4A" w:val="clear"/>
            <w:tcMar>
              <w:top w:type="dxa" w:w="90"/>
              <w:left w:type="dxa" w:w="110"/>
              <w:bottom w:type="dxa" w:w="90"/>
              <w:right w:type="dxa" w:w="110"/>
            </w:tcMar>
            <w:vAlign w:val="center"/>
          </w:tcPr>
          <w:p>
            <w:pPr>
              <w:spacing w:after="40"/>
            </w:pPr>
            <w:r>
              <w:rPr>
                <w:b/>
                <w:bCs/>
                <w:color w:val="FFFFFF"/>
                <w:sz w:val="19"/>
                <w:szCs w:val="19"/>
              </w:rPr>
              <w:t xml:space="preserve">Horizon</w:t>
            </w:r>
          </w:p>
        </w:tc>
        <w:tc>
          <w:tcPr>
            <w:tcW w:type="dxa" w:w="8364"/>
            <w:shd w:fill="1B2A4A" w:val="clear"/>
            <w:tcMar>
              <w:top w:type="dxa" w:w="90"/>
              <w:left w:type="dxa" w:w="110"/>
              <w:bottom w:type="dxa" w:w="90"/>
              <w:right w:type="dxa" w:w="110"/>
            </w:tcMar>
            <w:vAlign w:val="center"/>
          </w:tcPr>
          <w:p>
            <w:pPr>
              <w:spacing w:after="40"/>
            </w:pPr>
            <w:r>
              <w:rPr>
                <w:b/>
                <w:bCs/>
                <w:color w:val="FFFFFF"/>
                <w:sz w:val="19"/>
                <w:szCs w:val="19"/>
              </w:rPr>
              <w:t xml:space="preserve">Focus</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Week 1</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Rewrite all documentation/marketing copy in original language; publish free-tier landing page with comparison pages; start GDPR/security page; begin outreach to 20–30 warm contacts.</w:t>
            </w:r>
          </w:p>
        </w:tc>
      </w:tr>
      <w:tr>
        <w:tc>
          <w:tcPr>
            <w:tcW w:type="dxa" w:w="1716"/>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Weeks 2–4</w:t>
            </w:r>
          </w:p>
        </w:tc>
        <w:tc>
          <w:tcPr>
            <w:tcW w:type="dxa" w:w="8364"/>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Product Hunt launch; lifetime-deal listing; start 2x/week SEO/GEO content cadence; ship WhatsApp/Telegram inbox coverage and basic social-listening/mentions tracking.</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Months 2–3</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Localize pricing (PPP) and payment rails for the first 2 beachhead regions beyond North America; launch white-label/reseller tier for agencies; launch referral program.</w:t>
            </w:r>
          </w:p>
        </w:tc>
      </w:tr>
      <w:tr>
        <w:tc>
          <w:tcPr>
            <w:tcW w:type="dxa" w:w="1716"/>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Months 3–6</w:t>
            </w:r>
          </w:p>
        </w:tc>
        <w:tc>
          <w:tcPr>
            <w:tcW w:type="dxa" w:w="8364"/>
            <w:shd w:fill="EFF3F5" w:val="clear"/>
            <w:tcMar>
              <w:top w:type="dxa" w:w="90"/>
              <w:left w:type="dxa" w:w="110"/>
              <w:bottom w:type="dxa" w:w="90"/>
              <w:right w:type="dxa" w:w="110"/>
            </w:tcMar>
            <w:vAlign w:val="center"/>
          </w:tcPr>
          <w:p>
            <w:pPr>
              <w:spacing w:after="40"/>
            </w:pPr>
            <w:r>
              <w:rPr>
                <w:b w:val="false"/>
                <w:bCs w:val="false"/>
                <w:color w:val="222222"/>
                <w:sz w:val="19"/>
                <w:szCs w:val="19"/>
              </w:rPr>
              <w:t xml:space="preserve">Ship the AgentPost autonomous content agent, GEO Score tracker, and social commerce hub (TikTok Shop / Instagram Shop sync); pursue SOC2 posture for enterprise/agency upsell.</w:t>
            </w:r>
          </w:p>
        </w:tc>
      </w:tr>
      <w:tr>
        <w:tc>
          <w:tcPr>
            <w:tcW w:type="dxa" w:w="1716"/>
            <w:tcMar>
              <w:top w:type="dxa" w:w="90"/>
              <w:left w:type="dxa" w:w="110"/>
              <w:bottom w:type="dxa" w:w="90"/>
              <w:right w:type="dxa" w:w="110"/>
            </w:tcMar>
            <w:vAlign w:val="center"/>
          </w:tcPr>
          <w:p>
            <w:pPr>
              <w:spacing w:after="40"/>
            </w:pPr>
            <w:r>
              <w:rPr>
                <w:b w:val="false"/>
                <w:bCs w:val="false"/>
                <w:color w:val="222222"/>
                <w:sz w:val="19"/>
                <w:szCs w:val="19"/>
              </w:rPr>
              <w:t xml:space="preserve">Months 6–12</w:t>
            </w:r>
          </w:p>
        </w:tc>
        <w:tc>
          <w:tcPr>
            <w:tcW w:type="dxa" w:w="8364"/>
            <w:tcMar>
              <w:top w:type="dxa" w:w="90"/>
              <w:left w:type="dxa" w:w="110"/>
              <w:bottom w:type="dxa" w:w="90"/>
              <w:right w:type="dxa" w:w="110"/>
            </w:tcMar>
            <w:vAlign w:val="center"/>
          </w:tcPr>
          <w:p>
            <w:pPr>
              <w:spacing w:after="40"/>
            </w:pPr>
            <w:r>
              <w:rPr>
                <w:b w:val="false"/>
                <w:bCs w:val="false"/>
                <w:color w:val="222222"/>
                <w:sz w:val="19"/>
                <w:szCs w:val="19"/>
              </w:rPr>
              <w:t xml:space="preserve">Open integration marketplace; reputation-management agent for local/multi-location brands; launch AgentPost Academy; expand to additional regional beachheads based on Month 1–6 conversion data.</w:t>
            </w:r>
          </w:p>
        </w:tc>
      </w:tr>
    </w:tbl>
    <w:p>
      <w:pPr>
        <w:spacing w:after="160" w:line="276"/>
      </w:pPr>
      <w:r>
        <w:rPr>
          <w:b w:val="false"/>
          <w:bCs w:val="false"/>
          <w:i w:val="false"/>
          <w:iCs w:val="false"/>
          <w:color w:val="222222"/>
          <w:sz w:val="21"/>
          <w:szCs w:val="21"/>
        </w:rPr>
        <w:t xml:space="preserve"/>
      </w:r>
    </w:p>
    <w:p>
      <w:pPr>
        <w:pBdr>
          <w:left w:val="single" w:color="2E6F6E" w:sz="24" w:space="8"/>
        </w:pBdr>
        <w:shd w:fill="EFF3F5" w:val="clear"/>
        <w:spacing w:after="200" w:before="120" w:line="264"/>
      </w:pPr>
      <w:r>
        <w:rPr>
          <w:b/>
          <w:bCs/>
          <w:color w:val="2E6F6E"/>
          <w:sz w:val="21"/>
          <w:szCs w:val="21"/>
        </w:rPr>
        <w:t xml:space="preserve">Sources:  </w:t>
      </w:r>
      <w:r>
        <w:rPr>
          <w:color w:val="222222"/>
          <w:sz w:val="21"/>
          <w:szCs w:val="21"/>
        </w:rPr>
        <w:t xml:space="preserve">Market sizing — Grand View Research, Fortune Business Insights, Business Research Insights, Global Growth Insights, Market Research Future. Competitor ratings/reviews/pricing — G2 product catalog (Hootsuite, Sprout Social, Zoho Social, SOCi), live-queried August 2026. Social commerce and pricing-localization statistics — industry research aggregated via web search,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2026-08-20T11:04:28.716Z</dcterms:created>
  <dcterms:modified xsi:type="dcterms:W3CDTF">2026-08-20T11:04:28.717Z</dcterms:modified>
</cp:coreProperties>
</file>

<file path=docProps/custom.xml><?xml version="1.0" encoding="utf-8"?>
<Properties xmlns="http://schemas.openxmlformats.org/officeDocument/2006/custom-properties" xmlns:vt="http://schemas.openxmlformats.org/officeDocument/2006/docPropsVTypes"/>
</file>