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AAC"/>
          <w:sz w:val="20"/>
          <w:szCs w:val="20"/>
        </w:rPr>
        <w:t xml:space="preserve">ARABIC KIDS ACADEMY</w:t>
      </w:r>
    </w:p>
    <w:p>
      <w:pPr>
        <w:spacing w:after="300"/>
      </w:pPr>
      <w:r>
        <w:rPr>
          <w:b/>
          <w:bCs/>
          <w:color w:val="1F4E79"/>
          <w:sz w:val="44"/>
          <w:szCs w:val="44"/>
        </w:rPr>
        <w:t xml:space="preserve">Legal Pages — Attorney Review Packet</w:t>
      </w:r>
    </w:p>
    <w:p>
      <w:pPr>
        <w:spacing w:after="100" w:line="276"/>
      </w:pPr>
      <w:r>
        <w:rPr>
          <w:b/>
          <w:bCs/>
        </w:rPr>
        <w:t xml:space="preserve">Prepared for: </w:t>
      </w:r>
      <w:r>
        <w:t xml:space="preserve">MaAbu (Malik Abubakar), Founder</w:t>
      </w:r>
    </w:p>
    <w:p>
      <w:pPr>
        <w:spacing w:after="100" w:line="276"/>
      </w:pPr>
      <w:r>
        <w:rPr>
          <w:b/>
          <w:bCs/>
        </w:rPr>
        <w:t xml:space="preserve">Site: </w:t>
      </w:r>
      <w:r>
        <w:t xml:space="preserve">arabickidsacademy.com</w:t>
      </w:r>
    </w:p>
    <w:p>
      <w:pPr>
        <w:spacing w:after="100" w:line="276"/>
      </w:pPr>
      <w:r>
        <w:rPr>
          <w:b/>
          <w:bCs/>
        </w:rPr>
        <w:t xml:space="preserve">Prepared: </w:t>
      </w:r>
      <w:r>
        <w:t xml:space="preserve">September 17, 2026</w:t>
      </w:r>
    </w:p>
    <w:p>
      <w:pPr>
        <w:spacing w:after="100" w:line="276"/>
      </w:pPr>
      <w:r>
        <w:rPr>
          <w:b/>
          <w:bCs/>
        </w:rPr>
        <w:t xml:space="preserve">Scope: </w:t>
      </w:r>
      <w:r>
        <w:t xml:space="preserve">Terms of Service and Privacy Policy currently published live on the site, plus a business/technical fact sheet and a list of items flagged for legal review before these pages are treated as final.</w:t>
      </w:r>
    </w:p>
    <w:p>
      <w:pPr>
        <w:pBdr>
          <w:bottom w:val="single" w:color="CCCCCC" w:sz="6"/>
        </w:pBdr>
        <w:spacing w:after="300" w:before="300"/>
      </w:pPr>
    </w:p>
    <w:p>
      <w:pPr>
        <w:pStyle w:val="Heading1"/>
        <w:spacing w:after="160" w:before="360"/>
      </w:pPr>
      <w:r>
        <w:t xml:space="preserve">1. How to Use This Packet</w:t>
      </w:r>
    </w:p>
    <w:p>
      <w:pPr>
        <w:spacing w:after="160" w:line="276"/>
      </w:pPr>
      <w:r>
        <w:t xml:space="preserve">This is a working document, not a finished legal filing. Sections 1–4 give the attorney the business and technical context needed to review the pages, plus a prioritized list of specific items worth their attention. The full current text of both live pages is reproduced in Appendix A and Appendix B exactly as published on arabickidsacademy.com today, with the flagged passages highlighted and cross-referenced back to Section 3.</w:t>
      </w:r>
    </w:p>
    <w:p>
      <w:pPr>
        <w:spacing w:after="160" w:line="276"/>
      </w:pPr>
      <w:r>
        <w:t xml:space="preserve">These pages were originally drafted to be commercially reasonable and directionally correct — they are not placeholder text — but they have not yet had a lawyer's sign-off, and product behavior has moved on in a couple of places since they were written. Nothing in this packet should be read as legal advice; it is an engineering-side fact sheet meant to make the attorney's review faster and more accurate.</w:t>
      </w:r>
    </w:p>
    <w:p>
      <w:pPr>
        <w:shd w:fill="EAF1FB" w:val="clear"/>
        <w:spacing w:after="160" w:line="276"/>
      </w:pPr>
      <w:r>
        <w:rPr>
          <w:b/>
          <w:bCs/>
        </w:rPr>
        <w:t xml:space="preserve">This supersedes an earlier version of this packet from September 15, 2026 (</w:t>
      </w:r>
      <w:r>
        <w:rPr>
          <w:i/>
          <w:iCs/>
        </w:rPr>
        <w:t xml:space="preserve">AKA-Legal-Pages-Attorney-Review-Package.docx</w:t>
      </w:r>
      <w:r>
        <w:t xml:space="preserve">). A few of that version's findings have since been resolved by work completed in the two days between: self-service cancellation is now fully built and live (it was “just added” then); transactional email is now genuinely wired to Resend for password reset specifically (it was an unsent stub then). Others have not changed and are carried forward below (unsent promise-notifications for other events, the missing automated-deletion process, the entity-name question). This version also adds two sub-processors — Sentry and Pusher — that went live in Production since the last review and were not yet part of the app when that packet was written.</w:t>
      </w:r>
    </w:p>
    <w:p>
      <w:pPr>
        <w:pStyle w:val="Heading1"/>
        <w:spacing w:after="160" w:before="360"/>
      </w:pPr>
      <w:r>
        <w:t xml:space="preserve">2. Business &amp; Technical Fact Sheet</w:t>
      </w:r>
    </w:p>
    <w:p>
      <w:pPr>
        <w:pStyle w:val="Heading2"/>
        <w:spacing w:after="120" w:before="280"/>
      </w:pPr>
      <w:r>
        <w:t xml:space="preserve">2.1 Who and what</w:t>
      </w:r>
    </w:p>
    <w:p>
      <w:pPr>
        <w:pStyle w:val="ListParagraph"/>
        <w:numPr>
          <w:ilvl w:val="0"/>
          <w:numId w:val="2"/>
        </w:numPr>
        <w:spacing w:after="80" w:line="276"/>
      </w:pPr>
      <w:r>
        <w:t xml:space="preserve">Product: Arabic Kids Academy — a subscription-based online school teaching Arabic language and Qur'an/Tajweed to children ages 4–16, via live small-group (up to 6 students) or one-on-one classes with certified teachers, plus a self-paced learning app (stories, pronunciation practice, an AI chat tutor, gamified progress tracking).</w:t>
      </w:r>
    </w:p>
    <w:p>
      <w:pPr>
        <w:pStyle w:val="ListParagraph"/>
        <w:numPr>
          <w:ilvl w:val="0"/>
          <w:numId w:val="2"/>
        </w:numPr>
        <w:spacing w:after="80" w:line="276"/>
      </w:pPr>
      <w:r>
        <w:t xml:space="preserve">Audience: families worldwide; the app currently ships in 6 languages (Arabic, English, Dutch, Turkish, Italian, Spanish).</w:t>
      </w:r>
    </w:p>
    <w:p>
      <w:pPr>
        <w:pStyle w:val="ListParagraph"/>
        <w:numPr>
          <w:ilvl w:val="0"/>
          <w:numId w:val="2"/>
        </w:numPr>
        <w:spacing w:after="80" w:line="276"/>
      </w:pPr>
      <w:r>
        <w:t xml:space="preserve">Every account is a parent/guardian account. A child cannot register independently — a logged-in parent creates and manages every child profile.</w:t>
      </w:r>
    </w:p>
    <w:p>
      <w:pPr>
        <w:spacing w:after="160" w:line="276"/>
      </w:pPr>
      <w:r>
        <w:rPr>
          <w:b/>
          <w:bCs/>
          <w:color w:val="B7472A"/>
        </w:rPr>
        <w:t xml:space="preserve">⚑ FLAG FOR COUNSEL: </w:t>
      </w:r>
      <w:r>
        <w:rPr>
          <w:color w:val="B7472A"/>
        </w:rPr>
        <w:t xml:space="preserve">The Terms and Privacy Policy both name “3-Tech, based in Groningen, the Netherlands” as the operating entity and data controller. This appears to be a placeholder used during development — confirm the correct, currently registered legal entity name (and Dutch Chamber of Commerce / KVK number, if applicable) before this goes to counsel for anything beyond a first read, since it determines who is actually the contracting party and who is liable.</w:t>
      </w:r>
    </w:p>
    <w:p>
      <w:pPr>
        <w:pStyle w:val="Heading2"/>
        <w:spacing w:after="120" w:before="280"/>
      </w:pPr>
      <w:r>
        <w:t xml:space="preserve">2.2 Subscription, billing &amp; cancellation — as the product actually behaves today</w:t>
      </w:r>
    </w:p>
    <w:p>
      <w:pPr>
        <w:pStyle w:val="ListParagraph"/>
        <w:numPr>
          <w:ilvl w:val="0"/>
          <w:numId w:val="2"/>
        </w:numPr>
        <w:spacing w:after="80" w:line="276"/>
      </w:pPr>
      <w:r>
        <w:t xml:space="preserve">Billing runs entirely through Stripe. The company never receives or stores raw card details.</w:t>
      </w:r>
    </w:p>
    <w:p>
      <w:pPr>
        <w:pStyle w:val="ListParagraph"/>
        <w:numPr>
          <w:ilvl w:val="0"/>
          <w:numId w:val="2"/>
        </w:numPr>
        <w:spacing w:after="80" w:line="276"/>
      </w:pPr>
      <w:r>
        <w:t xml:space="preserve">A parent can self-serve cancel at any time from their own account (Parent → Billing → “Manage or Cancel Subscription”), which opens Stripe's hosted Billing Portal. Cancellation there takes effect at the end of the current paid period (Stripe's standard “cancel at period end” behavior); the app reads that flag back from Stripe and shows the parent a confirmation banner with the exact date access ends.</w:t>
      </w:r>
    </w:p>
    <w:p>
      <w:pPr>
        <w:pStyle w:val="ListParagraph"/>
        <w:numPr>
          <w:ilvl w:val="0"/>
          <w:numId w:val="2"/>
        </w:numPr>
        <w:spacing w:after="80" w:line="276"/>
      </w:pPr>
      <w:r>
        <w:t xml:space="preserve">A first-time subscriber gets an unconditional full refund if they cancel within 14 days of starting.</w:t>
      </w:r>
    </w:p>
    <w:p>
      <w:pPr>
        <w:spacing w:after="160" w:line="276"/>
      </w:pPr>
      <w:r>
        <w:rPr>
          <w:b/>
          <w:bCs/>
          <w:color w:val="B7472A"/>
        </w:rPr>
        <w:t xml:space="preserve">⚑ FLAG FOR COUNSEL: </w:t>
      </w:r>
      <w:r>
        <w:rPr>
          <w:color w:val="B7472A"/>
        </w:rPr>
        <w:t xml:space="preserve">This is a live discrepancy: Terms of Service §5 (“Cancellation”) still says the parent must email privacy@arabickidsacademy.com and wait up to two business days for the company to process it. That was true at an earlier stage of the product; it is no longer how cancellation actually works. See Appendix A, §5.</w:t>
      </w:r>
    </w:p>
    <w:p>
      <w:pPr>
        <w:pStyle w:val="Heading2"/>
        <w:spacing w:after="120" w:before="280"/>
      </w:pPr>
      <w:r>
        <w:t xml:space="preserve">2.3 Children's data &amp; consent mechanism</w:t>
      </w:r>
    </w:p>
    <w:p>
      <w:pPr>
        <w:pStyle w:val="ListParagraph"/>
        <w:numPr>
          <w:ilvl w:val="0"/>
          <w:numId w:val="2"/>
        </w:numPr>
        <w:spacing w:after="80" w:line="276"/>
      </w:pPr>
      <w:r>
        <w:t xml:space="preserve">Consent model: creating a child profile requires a verified, logged-in parent account; there is no path for a child to register or consent on their own. The Privacy Policy applies a single 16-and-under threshold platform-wide (rather than the GDPR Article 8 default of 16, lowered to as low as 13 in some member states, or the COPPA under-13 standard) so the same consent flow protects every family regardless of country.</w:t>
      </w:r>
    </w:p>
    <w:p>
      <w:pPr>
        <w:pStyle w:val="ListParagraph"/>
        <w:numPr>
          <w:ilvl w:val="0"/>
          <w:numId w:val="2"/>
        </w:numPr>
        <w:spacing w:after="80" w:line="276"/>
      </w:pPr>
      <w:r>
        <w:t xml:space="preserve">Direct child-to-child messaging is disabled by design; all classroom communication is supervised by the assigned teacher; parent–teacher messaging is logged with an audit trail.</w:t>
      </w:r>
    </w:p>
    <w:p>
      <w:pPr>
        <w:pStyle w:val="ListParagraph"/>
        <w:numPr>
          <w:ilvl w:val="0"/>
          <w:numId w:val="2"/>
        </w:numPr>
        <w:spacing w:after="80" w:line="276"/>
      </w:pPr>
      <w:r>
        <w:t xml:space="preserve">Recitation/pronunciation audio homework is stored in private cloud storage, accessible only via short-lived signed URLs restricted to the student's assigned teacher and authorized staff.</w:t>
      </w:r>
    </w:p>
    <w:p>
      <w:pPr>
        <w:pStyle w:val="ListParagraph"/>
        <w:numPr>
          <w:ilvl w:val="0"/>
          <w:numId w:val="2"/>
        </w:numPr>
        <w:spacing w:after="80" w:line="276"/>
      </w:pPr>
      <w:r>
        <w:t xml:space="preserve">Internal teacher notes on a student are filtered out of every parent- and student-facing API response — only visible to that student's authorized teachers/admins.</w:t>
      </w:r>
    </w:p>
    <w:p>
      <w:pPr>
        <w:pStyle w:val="ListParagraph"/>
        <w:numPr>
          <w:ilvl w:val="0"/>
          <w:numId w:val="2"/>
        </w:numPr>
        <w:spacing w:after="80" w:line="276"/>
      </w:pPr>
      <w:r>
        <w:t xml:space="preserve">No public, zero-sum leaderboards; gamification (XP, badges, streaks) is individualized per child.</w:t>
      </w:r>
    </w:p>
    <w:p>
      <w:pPr>
        <w:pStyle w:val="Heading2"/>
        <w:spacing w:after="120" w:before="280"/>
      </w:pPr>
      <w:r>
        <w:t xml:space="preserve">2.4 Data retention &amp; parent rights</w:t>
      </w:r>
    </w:p>
    <w:p>
      <w:pPr>
        <w:pStyle w:val="ListParagraph"/>
        <w:numPr>
          <w:ilvl w:val="0"/>
          <w:numId w:val="2"/>
        </w:numPr>
        <w:spacing w:after="80" w:line="276"/>
      </w:pPr>
      <w:r>
        <w:t xml:space="preserve">Account and learning data is retained while the account is active; on account closure or a deletion request, personal data is deleted or anonymized within 90 days, except billing records kept longer where tax/accounting law requires it.</w:t>
      </w:r>
    </w:p>
    <w:p>
      <w:pPr>
        <w:pStyle w:val="ListParagraph"/>
        <w:numPr>
          <w:ilvl w:val="0"/>
          <w:numId w:val="2"/>
        </w:numPr>
        <w:spacing w:after="80" w:line="276"/>
      </w:pPr>
      <w:r>
        <w:t xml:space="preserve">A parent can request access, correction, a copy, or deletion of their child's data by emailing privacy@arabickidsacademy.com; the published commitment is to respond within one month, citing GDPR Article 12.</w:t>
      </w:r>
    </w:p>
    <w:p>
      <w:pPr>
        <w:pStyle w:val="Heading2"/>
        <w:spacing w:after="120" w:before="280"/>
      </w:pPr>
      <w:r>
        <w:t xml:space="preserve">2.5 Third-party sub-processors — who actually receives personal data today</w:t>
      </w:r>
    </w:p>
    <w:p>
      <w:pPr>
        <w:spacing w:after="160" w:line="276"/>
      </w:pPr>
      <w:r>
        <w:t xml:space="preserve">The Privacy Policy's current “Who We Share Information With” section (Appendix B, §5) names only Stripe, Vercel, and Neon. The table below reflects what the live codebase and the live Vercel production configuration actually show as of this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300"/>
        <w:gridCol w:w="1600"/>
      </w:tblGrid>
      <w:tr>
        <w:trPr>
          <w:tblHeader/>
        </w:trPr>
        <w:tc>
          <w:tcPr>
            <w:tcW w:type="dxa" w:w="1600"/>
            <w:shd w:fill="1F4E79" w:val="clear"/>
            <w:tcMar>
              <w:top w:type="dxa" w:w="80"/>
              <w:left w:type="dxa" w:w="100"/>
              <w:bottom w:type="dxa" w:w="80"/>
              <w:right w:type="dxa" w:w="100"/>
            </w:tcMar>
          </w:tcPr>
          <w:p>
            <w:r>
              <w:rPr>
                <w:b/>
                <w:bCs/>
                <w:color w:val="FFFFFF"/>
                <w:sz w:val="19"/>
                <w:szCs w:val="19"/>
              </w:rPr>
              <w:t xml:space="preserve">Service</w:t>
            </w:r>
          </w:p>
        </w:tc>
        <w:tc>
          <w:tcPr>
            <w:tcW w:type="dxa" w:w="2500"/>
            <w:shd w:fill="1F4E79" w:val="clear"/>
            <w:tcMar>
              <w:top w:type="dxa" w:w="80"/>
              <w:left w:type="dxa" w:w="100"/>
              <w:bottom w:type="dxa" w:w="80"/>
              <w:right w:type="dxa" w:w="100"/>
            </w:tcMar>
          </w:tcPr>
          <w:p>
            <w:r>
              <w:rPr>
                <w:b/>
                <w:bCs/>
                <w:color w:val="FFFFFF"/>
                <w:sz w:val="19"/>
                <w:szCs w:val="19"/>
              </w:rPr>
              <w:t xml:space="preserve">Purpose</w:t>
            </w:r>
          </w:p>
        </w:tc>
        <w:tc>
          <w:tcPr>
            <w:tcW w:type="dxa" w:w="3300"/>
            <w:shd w:fill="1F4E79" w:val="clear"/>
            <w:tcMar>
              <w:top w:type="dxa" w:w="80"/>
              <w:left w:type="dxa" w:w="100"/>
              <w:bottom w:type="dxa" w:w="80"/>
              <w:right w:type="dxa" w:w="100"/>
            </w:tcMar>
          </w:tcPr>
          <w:p>
            <w:r>
              <w:rPr>
                <w:b/>
                <w:bCs/>
                <w:color w:val="FFFFFF"/>
                <w:sz w:val="19"/>
                <w:szCs w:val="19"/>
              </w:rPr>
              <w:t xml:space="preserve">Personal Data Involved</w:t>
            </w:r>
          </w:p>
        </w:tc>
        <w:tc>
          <w:tcPr>
            <w:tcW w:type="dxa" w:w="1600"/>
            <w:shd w:fill="1F4E79" w:val="clear"/>
            <w:tcMar>
              <w:top w:type="dxa" w:w="80"/>
              <w:left w:type="dxa" w:w="100"/>
              <w:bottom w:type="dxa" w:w="80"/>
              <w:right w:type="dxa" w:w="100"/>
            </w:tcMar>
          </w:tcPr>
          <w:p>
            <w:r>
              <w:rPr>
                <w:b/>
                <w:bCs/>
                <w:color w:val="FFFFFF"/>
                <w:sz w:val="19"/>
                <w:szCs w:val="19"/>
              </w:rPr>
              <w:t xml:space="preserve">Status</w:t>
            </w:r>
          </w:p>
        </w:tc>
      </w:tr>
      <w:tr>
        <w:tc>
          <w:tcPr>
            <w:tcW w:type="dxa" w:w="1600"/>
            <w:tcMar>
              <w:top w:type="dxa" w:w="80"/>
              <w:left w:type="dxa" w:w="100"/>
              <w:bottom w:type="dxa" w:w="80"/>
              <w:right w:type="dxa" w:w="100"/>
            </w:tcMar>
          </w:tcPr>
          <w:p>
            <w:r>
              <w:rPr>
                <w:b w:val="false"/>
                <w:bCs w:val="false"/>
                <w:sz w:val="19"/>
                <w:szCs w:val="19"/>
              </w:rPr>
              <w:t xml:space="preserve">Stripe</w:t>
            </w:r>
          </w:p>
        </w:tc>
        <w:tc>
          <w:tcPr>
            <w:tcW w:type="dxa" w:w="2500"/>
            <w:tcMar>
              <w:top w:type="dxa" w:w="80"/>
              <w:left w:type="dxa" w:w="100"/>
              <w:bottom w:type="dxa" w:w="80"/>
              <w:right w:type="dxa" w:w="100"/>
            </w:tcMar>
          </w:tcPr>
          <w:p>
            <w:r>
              <w:rPr>
                <w:b w:val="false"/>
                <w:bCs w:val="false"/>
                <w:sz w:val="19"/>
                <w:szCs w:val="19"/>
              </w:rPr>
              <w:t xml:space="preserve">Payment processing (subscriptions, invoices)</w:t>
            </w:r>
          </w:p>
        </w:tc>
        <w:tc>
          <w:tcPr>
            <w:tcW w:type="dxa" w:w="3300"/>
            <w:tcMar>
              <w:top w:type="dxa" w:w="80"/>
              <w:left w:type="dxa" w:w="100"/>
              <w:bottom w:type="dxa" w:w="80"/>
              <w:right w:type="dxa" w:w="100"/>
            </w:tcMar>
          </w:tcPr>
          <w:p>
            <w:r>
              <w:rPr>
                <w:b w:val="false"/>
                <w:bCs w:val="false"/>
                <w:sz w:val="19"/>
                <w:szCs w:val="19"/>
              </w:rPr>
              <w:t xml:space="preserve">Parent billing name, email, billing address, payment method (card details never touch our servers)</w:t>
            </w:r>
          </w:p>
        </w:tc>
        <w:tc>
          <w:tcPr>
            <w:tcW w:type="dxa" w:w="1600"/>
            <w:tcMar>
              <w:top w:type="dxa" w:w="80"/>
              <w:left w:type="dxa" w:w="100"/>
              <w:bottom w:type="dxa" w:w="80"/>
              <w:right w:type="dxa" w:w="100"/>
            </w:tcMar>
          </w:tcPr>
          <w:p>
            <w:r>
              <w:rPr>
                <w:b w:val="false"/>
                <w:bCs w:val="false"/>
                <w:sz w:val="19"/>
                <w:szCs w:val="19"/>
              </w:rPr>
              <w:t xml:space="preserve">Live · disclosed</w:t>
            </w:r>
          </w:p>
        </w:tc>
      </w:tr>
      <w:tr>
        <w:tc>
          <w:tcPr>
            <w:tcW w:type="dxa" w:w="1600"/>
            <w:shd w:fill="F2F2F2" w:val="clear"/>
            <w:tcMar>
              <w:top w:type="dxa" w:w="80"/>
              <w:left w:type="dxa" w:w="100"/>
              <w:bottom w:type="dxa" w:w="80"/>
              <w:right w:type="dxa" w:w="100"/>
            </w:tcMar>
          </w:tcPr>
          <w:p>
            <w:r>
              <w:rPr>
                <w:b w:val="false"/>
                <w:bCs w:val="false"/>
                <w:sz w:val="19"/>
                <w:szCs w:val="19"/>
              </w:rPr>
              <w:t xml:space="preserve">Vercel</w:t>
            </w:r>
          </w:p>
        </w:tc>
        <w:tc>
          <w:tcPr>
            <w:tcW w:type="dxa" w:w="2500"/>
            <w:shd w:fill="F2F2F2" w:val="clear"/>
            <w:tcMar>
              <w:top w:type="dxa" w:w="80"/>
              <w:left w:type="dxa" w:w="100"/>
              <w:bottom w:type="dxa" w:w="80"/>
              <w:right w:type="dxa" w:w="100"/>
            </w:tcMar>
          </w:tcPr>
          <w:p>
            <w:r>
              <w:rPr>
                <w:b w:val="false"/>
                <w:bCs w:val="false"/>
                <w:sz w:val="19"/>
                <w:szCs w:val="19"/>
              </w:rPr>
              <w:t xml:space="preserve">Application hosting / infrastructure</w:t>
            </w:r>
          </w:p>
        </w:tc>
        <w:tc>
          <w:tcPr>
            <w:tcW w:type="dxa" w:w="3300"/>
            <w:shd w:fill="F2F2F2" w:val="clear"/>
            <w:tcMar>
              <w:top w:type="dxa" w:w="80"/>
              <w:left w:type="dxa" w:w="100"/>
              <w:bottom w:type="dxa" w:w="80"/>
              <w:right w:type="dxa" w:w="100"/>
            </w:tcMar>
          </w:tcPr>
          <w:p>
            <w:r>
              <w:rPr>
                <w:b w:val="false"/>
                <w:bCs w:val="false"/>
                <w:sz w:val="19"/>
                <w:szCs w:val="19"/>
              </w:rPr>
              <w:t xml:space="preserve">All application data in transit and at rest on the platform</w:t>
            </w:r>
          </w:p>
        </w:tc>
        <w:tc>
          <w:tcPr>
            <w:tcW w:type="dxa" w:w="1600"/>
            <w:shd w:fill="F2F2F2" w:val="clear"/>
            <w:tcMar>
              <w:top w:type="dxa" w:w="80"/>
              <w:left w:type="dxa" w:w="100"/>
              <w:bottom w:type="dxa" w:w="80"/>
              <w:right w:type="dxa" w:w="100"/>
            </w:tcMar>
          </w:tcPr>
          <w:p>
            <w:r>
              <w:rPr>
                <w:b w:val="false"/>
                <w:bCs w:val="false"/>
                <w:sz w:val="19"/>
                <w:szCs w:val="19"/>
              </w:rPr>
              <w:t xml:space="preserve">Live · disclosed</w:t>
            </w:r>
          </w:p>
        </w:tc>
      </w:tr>
      <w:tr>
        <w:tc>
          <w:tcPr>
            <w:tcW w:type="dxa" w:w="1600"/>
            <w:tcMar>
              <w:top w:type="dxa" w:w="80"/>
              <w:left w:type="dxa" w:w="100"/>
              <w:bottom w:type="dxa" w:w="80"/>
              <w:right w:type="dxa" w:w="100"/>
            </w:tcMar>
          </w:tcPr>
          <w:p>
            <w:r>
              <w:rPr>
                <w:b w:val="false"/>
                <w:bCs w:val="false"/>
                <w:sz w:val="19"/>
                <w:szCs w:val="19"/>
              </w:rPr>
              <w:t xml:space="preserve">Neon (Postgres)</w:t>
            </w:r>
          </w:p>
        </w:tc>
        <w:tc>
          <w:tcPr>
            <w:tcW w:type="dxa" w:w="2500"/>
            <w:tcMar>
              <w:top w:type="dxa" w:w="80"/>
              <w:left w:type="dxa" w:w="100"/>
              <w:bottom w:type="dxa" w:w="80"/>
              <w:right w:type="dxa" w:w="100"/>
            </w:tcMar>
          </w:tcPr>
          <w:p>
            <w:r>
              <w:rPr>
                <w:b w:val="false"/>
                <w:bCs w:val="false"/>
                <w:sz w:val="19"/>
                <w:szCs w:val="19"/>
              </w:rPr>
              <w:t xml:space="preserve">Primary database</w:t>
            </w:r>
          </w:p>
        </w:tc>
        <w:tc>
          <w:tcPr>
            <w:tcW w:type="dxa" w:w="3300"/>
            <w:tcMar>
              <w:top w:type="dxa" w:w="80"/>
              <w:left w:type="dxa" w:w="100"/>
              <w:bottom w:type="dxa" w:w="80"/>
              <w:right w:type="dxa" w:w="100"/>
            </w:tcMar>
          </w:tcPr>
          <w:p>
            <w:r>
              <w:rPr>
                <w:b w:val="false"/>
                <w:bCs w:val="false"/>
                <w:sz w:val="19"/>
                <w:szCs w:val="19"/>
              </w:rPr>
              <w:t xml:space="preserve">All application data at rest (parents, children, learning records)</w:t>
            </w:r>
          </w:p>
        </w:tc>
        <w:tc>
          <w:tcPr>
            <w:tcW w:type="dxa" w:w="1600"/>
            <w:tcMar>
              <w:top w:type="dxa" w:w="80"/>
              <w:left w:type="dxa" w:w="100"/>
              <w:bottom w:type="dxa" w:w="80"/>
              <w:right w:type="dxa" w:w="100"/>
            </w:tcMar>
          </w:tcPr>
          <w:p>
            <w:r>
              <w:rPr>
                <w:b w:val="false"/>
                <w:bCs w:val="false"/>
                <w:sz w:val="19"/>
                <w:szCs w:val="19"/>
              </w:rPr>
              <w:t xml:space="preserve">Live · disclosed</w:t>
            </w:r>
          </w:p>
        </w:tc>
      </w:tr>
      <w:tr>
        <w:tc>
          <w:tcPr>
            <w:tcW w:type="dxa" w:w="1600"/>
            <w:shd w:fill="F2F2F2" w:val="clear"/>
            <w:tcMar>
              <w:top w:type="dxa" w:w="80"/>
              <w:left w:type="dxa" w:w="100"/>
              <w:bottom w:type="dxa" w:w="80"/>
              <w:right w:type="dxa" w:w="100"/>
            </w:tcMar>
          </w:tcPr>
          <w:p>
            <w:r>
              <w:rPr>
                <w:b w:val="false"/>
                <w:bCs w:val="false"/>
                <w:sz w:val="19"/>
                <w:szCs w:val="19"/>
              </w:rPr>
              <w:t xml:space="preserve">Resend</w:t>
            </w:r>
          </w:p>
        </w:tc>
        <w:tc>
          <w:tcPr>
            <w:tcW w:type="dxa" w:w="2500"/>
            <w:shd w:fill="F2F2F2" w:val="clear"/>
            <w:tcMar>
              <w:top w:type="dxa" w:w="80"/>
              <w:left w:type="dxa" w:w="100"/>
              <w:bottom w:type="dxa" w:w="80"/>
              <w:right w:type="dxa" w:w="100"/>
            </w:tcMar>
          </w:tcPr>
          <w:p>
            <w:r>
              <w:rPr>
                <w:b w:val="false"/>
                <w:bCs w:val="false"/>
                <w:sz w:val="19"/>
                <w:szCs w:val="19"/>
              </w:rPr>
              <w:t xml:space="preserve">Transactional email (password reset, notifications)</w:t>
            </w:r>
          </w:p>
        </w:tc>
        <w:tc>
          <w:tcPr>
            <w:tcW w:type="dxa" w:w="3300"/>
            <w:shd w:fill="F2F2F2" w:val="clear"/>
            <w:tcMar>
              <w:top w:type="dxa" w:w="80"/>
              <w:left w:type="dxa" w:w="100"/>
              <w:bottom w:type="dxa" w:w="80"/>
              <w:right w:type="dxa" w:w="100"/>
            </w:tcMar>
          </w:tcPr>
          <w:p>
            <w:r>
              <w:rPr>
                <w:b w:val="false"/>
                <w:bCs w:val="false"/>
                <w:sz w:val="19"/>
                <w:szCs w:val="19"/>
              </w:rPr>
              <w:t xml:space="preserve">Parent name and email address</w:t>
            </w:r>
          </w:p>
        </w:tc>
        <w:tc>
          <w:tcPr>
            <w:tcW w:type="dxa" w:w="1600"/>
            <w:shd w:fill="F2F2F2" w:val="clear"/>
            <w:tcMar>
              <w:top w:type="dxa" w:w="80"/>
              <w:left w:type="dxa" w:w="100"/>
              <w:bottom w:type="dxa" w:w="80"/>
              <w:right w:type="dxa" w:w="100"/>
            </w:tcMar>
          </w:tcPr>
          <w:p>
            <w:r>
              <w:rPr>
                <w:b w:val="false"/>
                <w:bCs w:val="false"/>
                <w:sz w:val="19"/>
                <w:szCs w:val="19"/>
              </w:rPr>
              <w:t xml:space="preserve">Live · NOT currently disclosed</w:t>
            </w:r>
          </w:p>
        </w:tc>
      </w:tr>
      <w:tr>
        <w:tc>
          <w:tcPr>
            <w:tcW w:type="dxa" w:w="1600"/>
            <w:tcMar>
              <w:top w:type="dxa" w:w="80"/>
              <w:left w:type="dxa" w:w="100"/>
              <w:bottom w:type="dxa" w:w="80"/>
              <w:right w:type="dxa" w:w="100"/>
            </w:tcMar>
          </w:tcPr>
          <w:p>
            <w:r>
              <w:rPr>
                <w:b w:val="false"/>
                <w:bCs w:val="false"/>
                <w:sz w:val="19"/>
                <w:szCs w:val="19"/>
              </w:rPr>
              <w:t xml:space="preserve">Sentry</w:t>
            </w:r>
          </w:p>
        </w:tc>
        <w:tc>
          <w:tcPr>
            <w:tcW w:type="dxa" w:w="2500"/>
            <w:tcMar>
              <w:top w:type="dxa" w:w="80"/>
              <w:left w:type="dxa" w:w="100"/>
              <w:bottom w:type="dxa" w:w="80"/>
              <w:right w:type="dxa" w:w="100"/>
            </w:tcMar>
          </w:tcPr>
          <w:p>
            <w:r>
              <w:rPr>
                <w:b w:val="false"/>
                <w:bCs w:val="false"/>
                <w:sz w:val="19"/>
                <w:szCs w:val="19"/>
              </w:rPr>
              <w:t xml:space="preserve">Error monitoring / crash reporting</w:t>
            </w:r>
          </w:p>
        </w:tc>
        <w:tc>
          <w:tcPr>
            <w:tcW w:type="dxa" w:w="3300"/>
            <w:tcMar>
              <w:top w:type="dxa" w:w="80"/>
              <w:left w:type="dxa" w:w="100"/>
              <w:bottom w:type="dxa" w:w="80"/>
              <w:right w:type="dxa" w:w="100"/>
            </w:tcMar>
          </w:tcPr>
          <w:p>
            <w:r>
              <w:rPr>
                <w:b w:val="false"/>
                <w:bCs w:val="false"/>
                <w:sz w:val="19"/>
                <w:szCs w:val="19"/>
              </w:rPr>
              <w:t xml:space="preserve">Technical/error data; sendDefaultPii is set to false, but stack traces or breadcrumbs could still incidentally capture fragments of user input</w:t>
            </w:r>
          </w:p>
        </w:tc>
        <w:tc>
          <w:tcPr>
            <w:tcW w:type="dxa" w:w="1600"/>
            <w:tcMar>
              <w:top w:type="dxa" w:w="80"/>
              <w:left w:type="dxa" w:w="100"/>
              <w:bottom w:type="dxa" w:w="80"/>
              <w:right w:type="dxa" w:w="100"/>
            </w:tcMar>
          </w:tcPr>
          <w:p>
            <w:r>
              <w:rPr>
                <w:b w:val="false"/>
                <w:bCs w:val="false"/>
                <w:sz w:val="19"/>
                <w:szCs w:val="19"/>
              </w:rPr>
              <w:t xml:space="preserve">Live · NOT currently disclosed</w:t>
            </w:r>
          </w:p>
        </w:tc>
      </w:tr>
      <w:tr>
        <w:tc>
          <w:tcPr>
            <w:tcW w:type="dxa" w:w="1600"/>
            <w:shd w:fill="F2F2F2" w:val="clear"/>
            <w:tcMar>
              <w:top w:type="dxa" w:w="80"/>
              <w:left w:type="dxa" w:w="100"/>
              <w:bottom w:type="dxa" w:w="80"/>
              <w:right w:type="dxa" w:w="100"/>
            </w:tcMar>
          </w:tcPr>
          <w:p>
            <w:r>
              <w:rPr>
                <w:b w:val="false"/>
                <w:bCs w:val="false"/>
                <w:sz w:val="19"/>
                <w:szCs w:val="19"/>
              </w:rPr>
              <w:t xml:space="preserve">Pusher</w:t>
            </w:r>
          </w:p>
        </w:tc>
        <w:tc>
          <w:tcPr>
            <w:tcW w:type="dxa" w:w="2500"/>
            <w:shd w:fill="F2F2F2" w:val="clear"/>
            <w:tcMar>
              <w:top w:type="dxa" w:w="80"/>
              <w:left w:type="dxa" w:w="100"/>
              <w:bottom w:type="dxa" w:w="80"/>
              <w:right w:type="dxa" w:w="100"/>
            </w:tcMar>
          </w:tcPr>
          <w:p>
            <w:r>
              <w:rPr>
                <w:b w:val="false"/>
                <w:bCs w:val="false"/>
                <w:sz w:val="19"/>
                <w:szCs w:val="19"/>
              </w:rPr>
              <w:t xml:space="preserve">Realtime messaging (live classroom, whiteboard)</w:t>
            </w:r>
          </w:p>
        </w:tc>
        <w:tc>
          <w:tcPr>
            <w:tcW w:type="dxa" w:w="3300"/>
            <w:shd w:fill="F2F2F2" w:val="clear"/>
            <w:tcMar>
              <w:top w:type="dxa" w:w="80"/>
              <w:left w:type="dxa" w:w="100"/>
              <w:bottom w:type="dxa" w:w="80"/>
              <w:right w:type="dxa" w:w="100"/>
            </w:tcMar>
          </w:tcPr>
          <w:p>
            <w:r>
              <w:rPr>
                <w:b w:val="false"/>
                <w:bCs w:val="false"/>
                <w:sz w:val="19"/>
                <w:szCs w:val="19"/>
              </w:rPr>
              <w:t xml:space="preserve">Session/connection metadata for live class features</w:t>
            </w:r>
          </w:p>
        </w:tc>
        <w:tc>
          <w:tcPr>
            <w:tcW w:type="dxa" w:w="1600"/>
            <w:shd w:fill="F2F2F2" w:val="clear"/>
            <w:tcMar>
              <w:top w:type="dxa" w:w="80"/>
              <w:left w:type="dxa" w:w="100"/>
              <w:bottom w:type="dxa" w:w="80"/>
              <w:right w:type="dxa" w:w="100"/>
            </w:tcMar>
          </w:tcPr>
          <w:p>
            <w:r>
              <w:rPr>
                <w:b w:val="false"/>
                <w:bCs w:val="false"/>
                <w:sz w:val="19"/>
                <w:szCs w:val="19"/>
              </w:rPr>
              <w:t xml:space="preserve">Live · NOT currently disclosed</w:t>
            </w:r>
          </w:p>
        </w:tc>
      </w:tr>
      <w:tr>
        <w:tc>
          <w:tcPr>
            <w:tcW w:type="dxa" w:w="1600"/>
            <w:tcMar>
              <w:top w:type="dxa" w:w="80"/>
              <w:left w:type="dxa" w:w="100"/>
              <w:bottom w:type="dxa" w:w="80"/>
              <w:right w:type="dxa" w:w="100"/>
            </w:tcMar>
          </w:tcPr>
          <w:p>
            <w:r>
              <w:rPr>
                <w:b w:val="false"/>
                <w:bCs w:val="false"/>
                <w:sz w:val="19"/>
                <w:szCs w:val="19"/>
              </w:rPr>
              <w:t xml:space="preserve">Anthropic (Claude API)</w:t>
            </w:r>
          </w:p>
        </w:tc>
        <w:tc>
          <w:tcPr>
            <w:tcW w:type="dxa" w:w="2500"/>
            <w:tcMar>
              <w:top w:type="dxa" w:w="80"/>
              <w:left w:type="dxa" w:w="100"/>
              <w:bottom w:type="dxa" w:w="80"/>
              <w:right w:type="dxa" w:w="100"/>
            </w:tcMar>
          </w:tcPr>
          <w:p>
            <w:r>
              <w:rPr>
                <w:b w:val="false"/>
                <w:bCs w:val="false"/>
                <w:sz w:val="19"/>
                <w:szCs w:val="19"/>
              </w:rPr>
              <w:t xml:space="preserve">"Faseeh" AI tutor chat + review translation</w:t>
            </w:r>
          </w:p>
        </w:tc>
        <w:tc>
          <w:tcPr>
            <w:tcW w:type="dxa" w:w="3300"/>
            <w:tcMar>
              <w:top w:type="dxa" w:w="80"/>
              <w:left w:type="dxa" w:w="100"/>
              <w:bottom w:type="dxa" w:w="80"/>
              <w:right w:type="dxa" w:w="100"/>
            </w:tcMar>
          </w:tcPr>
          <w:p>
            <w:r>
              <w:rPr>
                <w:b w:val="false"/>
                <w:bCs w:val="false"/>
                <w:sz w:val="19"/>
                <w:szCs w:val="19"/>
              </w:rPr>
              <w:t xml:space="preserve">Child's typed chat messages (AI tutor); parent review text (translation feature)</w:t>
            </w:r>
          </w:p>
        </w:tc>
        <w:tc>
          <w:tcPr>
            <w:tcW w:type="dxa" w:w="1600"/>
            <w:tcMar>
              <w:top w:type="dxa" w:w="80"/>
              <w:left w:type="dxa" w:w="100"/>
              <w:bottom w:type="dxa" w:w="80"/>
              <w:right w:type="dxa" w:w="100"/>
            </w:tcMar>
          </w:tcPr>
          <w:p>
            <w:r>
              <w:rPr>
                <w:b w:val="false"/>
                <w:bCs w:val="false"/>
                <w:sz w:val="19"/>
                <w:szCs w:val="19"/>
              </w:rPr>
              <w:t xml:space="preserve">In code, NOT yet configured in Production — currently inert, but will go live the moment an API key is added, with no policy update yet prepared</w:t>
            </w:r>
          </w:p>
        </w:tc>
      </w:tr>
    </w:tbl>
    <w:p>
      <w:pPr>
        <w:spacing w:after="160" w:before="160"/>
      </w:pPr>
    </w:p>
    <w:p>
      <w:pPr>
        <w:spacing w:after="160" w:line="276"/>
      </w:pPr>
      <w:r>
        <w:rPr>
          <w:b/>
          <w:bCs/>
          <w:color w:val="B7472A"/>
        </w:rPr>
        <w:t xml:space="preserve">⚑ FLAG FOR COUNSEL: </w:t>
      </w:r>
      <w:r>
        <w:rPr>
          <w:color w:val="B7472A"/>
        </w:rPr>
        <w:t xml:space="preserve">Three services that already receive personal data in production — Resend, Sentry, and Pusher — are not named in the current sub-processor disclosure. Anthropic (the “Faseeh” AI tutor's model provider) is built into the code but has no API key configured in Production, so it is not currently receiving data; the policy should be updated before that feature is switched on, not after.</w:t>
      </w:r>
    </w:p>
    <w:p>
      <w:pPr>
        <w:pStyle w:val="Heading2"/>
        <w:spacing w:after="120" w:before="280"/>
      </w:pPr>
      <w:r>
        <w:t xml:space="preserve">2.6 Security posture (for context, not itself flagged)</w:t>
      </w:r>
    </w:p>
    <w:p>
      <w:pPr>
        <w:pStyle w:val="ListParagraph"/>
        <w:numPr>
          <w:ilvl w:val="0"/>
          <w:numId w:val="2"/>
        </w:numPr>
        <w:spacing w:after="80" w:line="276"/>
      </w:pPr>
      <w:r>
        <w:t xml:space="preserve">Passwords hashed with bcrypt; session cookies are HttpOnly, Secure, SameSite=Strict with cryptographic tokens.</w:t>
      </w:r>
    </w:p>
    <w:p>
      <w:pPr>
        <w:pStyle w:val="ListParagraph"/>
        <w:numPr>
          <w:ilvl w:val="0"/>
          <w:numId w:val="2"/>
        </w:numPr>
        <w:spacing w:after="80" w:line="276"/>
      </w:pPr>
      <w:r>
        <w:t xml:space="preserve">Every server-side write runs an explicit role/policy check; client-side role claims are never trusted.</w:t>
      </w:r>
    </w:p>
    <w:p>
      <w:pPr>
        <w:pStyle w:val="ListParagraph"/>
        <w:numPr>
          <w:ilvl w:val="0"/>
          <w:numId w:val="2"/>
        </w:numPr>
        <w:spacing w:after="80" w:line="276"/>
      </w:pPr>
      <w:r>
        <w:t xml:space="preserve">Login, registration, and password-reset are rate-limited per IP and per account.</w:t>
      </w:r>
    </w:p>
    <w:p>
      <w:pPr>
        <w:pStyle w:val="ListParagraph"/>
        <w:numPr>
          <w:ilvl w:val="0"/>
          <w:numId w:val="2"/>
        </w:numPr>
        <w:spacing w:after="80" w:line="276"/>
      </w:pPr>
      <w:r>
        <w:t xml:space="preserve">Finalized invoices and payment receipts are immutable (cannot be deleted or overwritten).</w:t>
      </w:r>
    </w:p>
    <w:p>
      <w:pPr>
        <w:pStyle w:val="Heading2"/>
        <w:spacing w:after="120" w:before="280"/>
      </w:pPr>
      <w:r>
        <w:t xml:space="preserve">2.7 Cookies</w:t>
      </w:r>
    </w:p>
    <w:p>
      <w:pPr>
        <w:spacing w:after="160" w:line="276"/>
      </w:pPr>
      <w:r>
        <w:t xml:space="preserve">The application sets its own first-party session-authentication cookie (HttpOnly, not used for tracking) and relies on whatever cookies Stripe's hosted Billing Portal/Checkout set during payment flows. No analytics or advertising tracking cookies (Google Analytics, Meta Pixel, etc.) were found anywhere in the codebase. Neither page currently mentions cookies at all, and there is no cookie-consent banner.</w:t>
      </w:r>
    </w:p>
    <w:p>
      <w:pPr>
        <w:spacing w:after="160" w:line="276"/>
      </w:pPr>
      <w:r>
        <w:rPr>
          <w:b/>
          <w:bCs/>
          <w:color w:val="B7472A"/>
        </w:rPr>
        <w:t xml:space="preserve">⚑ FLAG FOR COUNSEL: </w:t>
      </w:r>
      <w:r>
        <w:rPr>
          <w:color w:val="B7472A"/>
        </w:rPr>
        <w:t xml:space="preserve">Worth a legal opinion on whether a short cookie-disclosure paragraph (or a lightweight consent banner) is required under the EU ePrivacy Directive given the site's EU audience, even though the cookies in use are strictly functional rather than tracking-related.</w:t>
      </w:r>
    </w:p>
    <w:p>
      <w:pPr>
        <w:pStyle w:val="Heading1"/>
        <w:pageBreakBefore/>
        <w:spacing w:after="160" w:before="360"/>
      </w:pPr>
      <w:r>
        <w:t xml:space="preserve">3. Flagged Issues &amp; Open Questions for Counsel</w:t>
      </w:r>
    </w:p>
    <w:p>
      <w:pPr>
        <w:spacing w:after="160" w:line="276"/>
      </w:pPr>
      <w:r>
        <w:t xml:space="preserve">Ordered roughly by how much it matters to fix before these pages are treated as final. Items 1–4 involve either a foundational fact both documents depend on, or a live, user-facing inaccuracy; the rest are gaps or confirmatory questions.</w:t>
      </w:r>
    </w:p>
    <w:p>
      <w:pPr>
        <w:pStyle w:val="ListParagraph"/>
        <w:numPr>
          <w:ilvl w:val="0"/>
          <w:numId w:val="3"/>
        </w:numPr>
        <w:spacing w:after="140" w:line="276"/>
      </w:pPr>
      <w:r>
        <w:t xml:space="preserve">Confirm the correct legal entity (HIGH — foundational). “3-Tech, Groningen, the Netherlands” appears in both pages as the operating entity and GDPR data controller. Confirm this is the actual, currently registered entity (and its KVK number, if the attorney wants it referenced) before relying on either document — it doesn't match either of the founder's known brand names, so it's worth double-checking rather than assuming.</w:t>
      </w:r>
    </w:p>
    <w:p>
      <w:pPr>
        <w:pStyle w:val="ListParagraph"/>
        <w:numPr>
          <w:ilvl w:val="0"/>
          <w:numId w:val="3"/>
        </w:numPr>
        <w:spacing w:after="140" w:line="276"/>
      </w:pPr>
      <w:r>
        <w:t xml:space="preserve">Cancellation clause is out of date (HIGH — live inaccuracy). Terms of Service §5 describes an email-and-wait-two-days cancellation process that the product no longer uses; real cancellation is instant self-service through Stripe's Billing Portal, effective at the end of the paid period. Recommend counsel approve replacement language describing the actual flow before it is republished — draft language available on request, but not inserted here so the attorney reviews it fresh.</w:t>
      </w:r>
    </w:p>
    <w:p>
      <w:pPr>
        <w:pStyle w:val="ListParagraph"/>
        <w:numPr>
          <w:ilvl w:val="0"/>
          <w:numId w:val="3"/>
        </w:numPr>
        <w:spacing w:after="140" w:line="276"/>
      </w:pPr>
      <w:r>
        <w:t xml:space="preserve">Promised notification emails are not actually sent (HIGH — live inaccuracy, carried forward from the prior packet). Both pages commit to emailing the parent for several events — a price-change notice before renewal (Terms §4), a materially-affecting-your-subscription notice (Terms §11), and a notice when a policy change affects how a child's data is used (Privacy §9). Checking the code that actually sends notifications (NotificationDispatcherService) shows nothing in the app currently calls it for any of these three events — the only email that is genuinely sent today is the password-reset email, on its own separate, dedicated path. Either wire these three notification types to a real send, or adjust the text so it doesn't promise something the product doesn't yet do.</w:t>
      </w:r>
    </w:p>
    <w:p>
      <w:pPr>
        <w:pStyle w:val="ListParagraph"/>
        <w:numPr>
          <w:ilvl w:val="0"/>
          <w:numId w:val="3"/>
        </w:numPr>
        <w:spacing w:after="140" w:line="276"/>
      </w:pPr>
      <w:r>
        <w:t xml:space="preserve">Incomplete sub-processor disclosure (HIGH). Privacy Policy §5 omits Resend, Sentry, and Pusher, all of which are live and already receive personal data (see 2.5 above). Recommend the list be expanded, and that Anthropic be added pre-emptively before the AI tutor feature is switched on in Production.</w:t>
      </w:r>
    </w:p>
    <w:p>
      <w:pPr>
        <w:pStyle w:val="ListParagraph"/>
        <w:numPr>
          <w:ilvl w:val="0"/>
          <w:numId w:val="3"/>
        </w:numPr>
        <w:spacing w:after="140" w:line="276"/>
      </w:pPr>
      <w:r>
        <w:t xml:space="preserve">The 90-day deletion promise has no automated process behind it (MEDIUM, carried forward from the prior packet). Privacy Policy §6 commits to deleting or anonymizing personal data within 90 days of a request. There is no automated deletion or anonymization job anywhere in the codebase (checked again this review — still the case); every request would have to be fulfilled by hand. Not necessarily a document-wording problem, but worth a simple internal runbook (who does it, how, by when) so a real request from a parent doesn't get missed against that 90-day commitment.</w:t>
      </w:r>
    </w:p>
    <w:p>
      <w:pPr>
        <w:pStyle w:val="ListParagraph"/>
        <w:numPr>
          <w:ilvl w:val="0"/>
          <w:numId w:val="3"/>
        </w:numPr>
        <w:spacing w:after="140" w:line="276"/>
      </w:pPr>
      <w:r>
        <w:t xml:space="preserve">No cookie policy or consent mechanism (MEDIUM). See 2.7 above — worth a legal opinion on whether the current, purely-functional cookie usage still warrants a disclosure paragraph or banner for EU visitors.</w:t>
      </w:r>
    </w:p>
    <w:p>
      <w:pPr>
        <w:pStyle w:val="ListParagraph"/>
        <w:numPr>
          <w:ilvl w:val="0"/>
          <w:numId w:val="3"/>
        </w:numPr>
        <w:spacing w:after="140" w:line="276"/>
      </w:pPr>
      <w:r>
        <w:t xml:space="preserve">Data Processing Agreements (MEDIUM). Confirm a signed DPA / equivalent GDPR Article 28 processor agreement is in place with each processor in the 2.5 table (Stripe, Vercel, Neon, Resend, Sentry, Pusher), and that one is obtained from Anthropic before its key is added to Production.</w:t>
      </w:r>
    </w:p>
    <w:p>
      <w:pPr>
        <w:pStyle w:val="ListParagraph"/>
        <w:numPr>
          <w:ilvl w:val="0"/>
          <w:numId w:val="3"/>
        </w:numPr>
        <w:spacing w:after="140" w:line="276"/>
      </w:pPr>
      <w:r>
        <w:t xml:space="preserve">No translation-conflict clause (MEDIUM). The site publishes both pages in 6 languages, but neither the Terms nor the Privacy Policy states which language version controls if a translation and the English original conflict. Recommend adding a standard “English version governs” (or founder's preferred language) clause.</w:t>
      </w:r>
    </w:p>
    <w:p>
      <w:pPr>
        <w:pStyle w:val="ListParagraph"/>
        <w:numPr>
          <w:ilvl w:val="0"/>
          <w:numId w:val="3"/>
        </w:numPr>
        <w:spacing w:after="140" w:line="276"/>
      </w:pPr>
      <w:r>
        <w:t xml:space="preserve">GDPR age-of-consent framing (LOW — confirmatory). Confirm the chosen platform-wide age-16 consent threshold (Privacy Policy §2) is the right conservative choice and is described accurately relative to COPPA's under-13 standard and GDPR Article 8's 13–16 member-state range.</w:t>
      </w:r>
    </w:p>
    <w:p>
      <w:pPr>
        <w:pStyle w:val="ListParagraph"/>
        <w:numPr>
          <w:ilvl w:val="0"/>
          <w:numId w:val="3"/>
        </w:numPr>
        <w:spacing w:after="140" w:line="276"/>
      </w:pPr>
      <w:r>
        <w:t xml:space="preserve">Refund/cooling-off wording (LOW — confirmatory). Confirm the 14-day unconditional refund (Terms §6) satisfies or exceeds the EU Consumer Rights Directive's statutory withdrawal period, and flag if any additional disclosure is required for consumers in other jurisdictions the business actively serves (e.g., specific US state rules, if marketing targets US families).</w:t>
      </w:r>
    </w:p>
    <w:p>
      <w:pPr>
        <w:pStyle w:val="ListParagraph"/>
        <w:numPr>
          <w:ilvl w:val="0"/>
          <w:numId w:val="3"/>
        </w:numPr>
        <w:spacing w:after="140" w:line="276"/>
      </w:pPr>
      <w:r>
        <w:t xml:space="preserve">Governing law vs. mandatory consumer protections (LOW — confirmatory). Terms §10 already carves out “mandatory consumer-protection rights… under the law of your country of residence” alongside the Dutch-courts choice of forum — good practice already in place; flag only for an explicit counsel sign-off given the platform's international customer base.</w:t>
      </w:r>
    </w:p>
    <w:p>
      <w:pPr>
        <w:pStyle w:val="ListParagraph"/>
        <w:numPr>
          <w:ilvl w:val="0"/>
          <w:numId w:val="3"/>
        </w:numPr>
        <w:spacing w:after="140" w:line="276"/>
      </w:pPr>
      <w:r>
        <w:t xml:space="preserve">Formal COPPA/GDPR program questions worth putting to counsel directly (LOW — confirmatory, carried forward from the prior packet): whether COPPA compliance needs a formal FTC-recognized Direct Notice or verifiable-consent method beyond the current parent-account gate, given the platform expects US-resident children under 13; and whether a registered EU Data Protection Officer is required given the volume and sensitivity (children's data) being processed.</w:t>
      </w:r>
    </w:p>
    <w:p>
      <w:pPr>
        <w:pStyle w:val="Heading1"/>
        <w:spacing w:after="160" w:before="360"/>
      </w:pPr>
      <w:r>
        <w:t xml:space="preserve">4. Recommended Next Steps</w:t>
      </w:r>
    </w:p>
    <w:p>
      <w:pPr>
        <w:pStyle w:val="ListParagraph"/>
        <w:numPr>
          <w:ilvl w:val="0"/>
          <w:numId w:val="4"/>
        </w:numPr>
        <w:spacing w:after="140" w:line="276"/>
      </w:pPr>
      <w:r>
        <w:t xml:space="preserve">Confirm the correct legal entity name/registration (item 1) — this affects the wording of nearly everything else, so resolve it first.</w:t>
      </w:r>
    </w:p>
    <w:p>
      <w:pPr>
        <w:pStyle w:val="ListParagraph"/>
        <w:numPr>
          <w:ilvl w:val="0"/>
          <w:numId w:val="4"/>
        </w:numPr>
        <w:spacing w:after="140" w:line="276"/>
      </w:pPr>
      <w:r>
        <w:t xml:space="preserve">Send this packet, including Appendices A and B, to counsel for a first-pass review, flagging items 1–4 as the priority.</w:t>
      </w:r>
    </w:p>
    <w:p>
      <w:pPr>
        <w:pStyle w:val="ListParagraph"/>
        <w:numPr>
          <w:ilvl w:val="0"/>
          <w:numId w:val="4"/>
        </w:numPr>
        <w:spacing w:after="140" w:line="276"/>
      </w:pPr>
      <w:r>
        <w:t xml:space="preserve">Once counsel returns redlines or approved replacement language for the cancellation clause (item 2), the unsent notification-email promises (item 3), and the sub-processor list (item 4), those should be published promptly since they are live, user-facing inaccuracies today.</w:t>
      </w:r>
    </w:p>
    <w:p>
      <w:pPr>
        <w:pStyle w:val="ListParagraph"/>
        <w:numPr>
          <w:ilvl w:val="0"/>
          <w:numId w:val="4"/>
        </w:numPr>
        <w:spacing w:after="140" w:line="276"/>
      </w:pPr>
      <w:r>
        <w:t xml:space="preserve">Put together a simple internal runbook for the 90-day deletion promise (item 5) so a real parent request doesn't get missed, and decide with counsel whether a cookie-disclosure paragraph or banner is warranted (item 6) and whether formal DPAs need to be chased down or executed with any processor in the 2.5 table (item 7).</w:t>
      </w:r>
    </w:p>
    <w:p>
      <w:pPr>
        <w:pStyle w:val="ListParagraph"/>
        <w:numPr>
          <w:ilvl w:val="0"/>
          <w:numId w:val="4"/>
        </w:numPr>
        <w:spacing w:after="140" w:line="276"/>
      </w:pPr>
      <w:r>
        <w:t xml:space="preserve">Once the English pages are finalized, the 5 translated versions (Arabic, Dutch, Turkish, Italian, Spanish) will need the same edits carried through — happy to handle that mechanically once the English text is settled.</w:t>
      </w:r>
    </w:p>
    <w:p>
      <w:pPr>
        <w:pStyle w:val="Heading1"/>
        <w:pageBreakBefore/>
        <w:spacing w:after="160" w:before="360"/>
      </w:pPr>
      <w:r>
        <w:t xml:space="preserve">Appendix A — Terms of Service (current live text, English)</w:t>
      </w:r>
    </w:p>
    <w:p>
      <w:pPr>
        <w:spacing w:after="160" w:line="276"/>
      </w:pPr>
      <w:r>
        <w:rPr>
          <w:i/>
          <w:iCs/>
          <w:color w:val="666666"/>
        </w:rPr>
        <w:t xml:space="preserve">Reproduced exactly as published at arabickidsacademy.com/en/terms as of September 17, 2026. Highlighted passages are cross-referenced to Section 3 above.</w:t>
      </w:r>
    </w:p>
    <w:p>
      <w:pPr>
        <w:pStyle w:val="Heading3"/>
        <w:spacing w:after="100" w:before="200"/>
      </w:pPr>
      <w:r>
        <w:t xml:space="preserve">1. Who We Are &amp; Acceptance of These Terms</w:t>
      </w:r>
    </w:p>
    <w:p>
      <w:pPr>
        <w:shd w:fill="FDF0E8" w:val="clear"/>
        <w:spacing w:after="160" w:line="276"/>
      </w:pPr>
      <w:r>
        <w:t xml:space="preserve">These Terms of Service form an agreement between you — the parent or guardian creating and managing the account — and 3-Tech (“we”, “us”), based in Groningen, the Netherlands, which operates Arabic Kids Academy at arabickidsacademy.com. By creating an account or subscribing to a plan, you agree to these terms.</w:t>
      </w:r>
    </w:p>
    <w:p>
      <w:pPr>
        <w:spacing w:after="160" w:line="276"/>
      </w:pPr>
      <w:r>
        <w:rPr>
          <w:b/>
          <w:bCs/>
          <w:color w:val="B7472A"/>
        </w:rPr>
        <w:t xml:space="preserve">⚑ FLAG FOR COUNSEL: </w:t>
      </w:r>
      <w:r>
        <w:rPr>
          <w:color w:val="B7472A"/>
        </w:rPr>
        <w:t xml:space="preserve">see Section 3, item 1, above.</w:t>
      </w:r>
    </w:p>
    <w:p>
      <w:pPr>
        <w:pStyle w:val="Heading3"/>
        <w:spacing w:after="100" w:before="200"/>
      </w:pPr>
      <w:r>
        <w:t xml:space="preserve">2. Eligibility &amp; Parental Accounts</w:t>
      </w:r>
    </w:p>
    <w:p>
      <w:pPr>
        <w:spacing w:after="160" w:line="276"/>
      </w:pPr>
      <w:r>
        <w:t xml:space="preserve">All accounts must be created and maintained by a parent or legal guardian (18 years of age or older). The parent is responsible for the accuracy of the information provided and for supervising their child's use of the platform.</w:t>
      </w:r>
    </w:p>
    <w:p>
      <w:pPr>
        <w:pStyle w:val="Heading3"/>
        <w:spacing w:after="100" w:before="200"/>
      </w:pPr>
      <w:r>
        <w:t xml:space="preserve">3. The Service</w:t>
      </w:r>
    </w:p>
    <w:p>
      <w:pPr>
        <w:spacing w:after="160" w:line="276"/>
      </w:pPr>
      <w:r>
        <w:t xml:space="preserve">We provide small-group (up to 6 students) or one-on-one online classes across seven learning tracks (Arabic Foundations, Reading, Writing, Speaking, Listening, Quran &amp; Tajweed, and Islamic Studies), delivered by certified teachers matched to the child's age group.</w:t>
      </w:r>
    </w:p>
    <w:p>
      <w:pPr>
        <w:pStyle w:val="Heading3"/>
        <w:spacing w:after="100" w:before="200"/>
      </w:pPr>
      <w:r>
        <w:t xml:space="preserve">4. Subscription Plans, Billing &amp; Renewal</w:t>
      </w:r>
    </w:p>
    <w:p>
      <w:pPr>
        <w:shd w:fill="FDF0E8" w:val="clear"/>
        <w:spacing w:after="160" w:line="276"/>
      </w:pPr>
      <w:r>
        <w:t xml:space="preserve">Plans and their prices are shown at checkout and billed in USD through our payment processor, Stripe. Subscriptions renew automatically each billing period unless cancelled. If prices change, we will notify you before your next renewal.</w:t>
      </w:r>
    </w:p>
    <w:p>
      <w:pPr>
        <w:spacing w:after="160" w:line="276"/>
      </w:pPr>
      <w:r>
        <w:rPr>
          <w:b/>
          <w:bCs/>
          <w:color w:val="B7472A"/>
        </w:rPr>
        <w:t xml:space="preserve">⚑ FLAG FOR COUNSEL: </w:t>
      </w:r>
      <w:r>
        <w:rPr>
          <w:color w:val="B7472A"/>
        </w:rPr>
        <w:t xml:space="preserve">see Section 3, item 3, above.</w:t>
      </w:r>
    </w:p>
    <w:p>
      <w:pPr>
        <w:pStyle w:val="Heading3"/>
        <w:spacing w:after="100" w:before="200"/>
      </w:pPr>
      <w:r>
        <w:t xml:space="preserve">5. Cancellation</w:t>
      </w:r>
    </w:p>
    <w:p>
      <w:pPr>
        <w:shd w:fill="FDF0E8" w:val="clear"/>
        <w:spacing w:after="160" w:line="276"/>
      </w:pPr>
      <w:r>
        <w:t xml:space="preserve">You may cancel your subscription at any time by emailing privacy@arabickidsacademy.com, and we will process your request within two business days. Your access remains active through the end of the billing period you've already paid for, with no additional charges and no partial refund for unused days (outside of the 14-day guarantee described below).</w:t>
      </w:r>
    </w:p>
    <w:p>
      <w:pPr>
        <w:spacing w:after="160" w:line="276"/>
      </w:pPr>
      <w:r>
        <w:rPr>
          <w:b/>
          <w:bCs/>
          <w:color w:val="B7472A"/>
        </w:rPr>
        <w:t xml:space="preserve">⚑ FLAG FOR COUNSEL: </w:t>
      </w:r>
      <w:r>
        <w:rPr>
          <w:color w:val="B7472A"/>
        </w:rPr>
        <w:t xml:space="preserve">see Section 3, item 2, above.</w:t>
      </w:r>
    </w:p>
    <w:p>
      <w:pPr>
        <w:pStyle w:val="Heading3"/>
        <w:spacing w:after="100" w:before="200"/>
      </w:pPr>
      <w:r>
        <w:t xml:space="preserve">6. Refund Policy</w:t>
      </w:r>
    </w:p>
    <w:p>
      <w:pPr>
        <w:shd w:fill="FDF0E8" w:val="clear"/>
        <w:spacing w:after="160" w:line="276"/>
      </w:pPr>
      <w:r>
        <w:t xml:space="preserve">We offer an unconditional full refund if you request cancellation within the first 14 days of any new subscription.</w:t>
      </w:r>
    </w:p>
    <w:p>
      <w:pPr>
        <w:spacing w:after="160" w:line="276"/>
      </w:pPr>
      <w:r>
        <w:rPr>
          <w:b/>
          <w:bCs/>
          <w:color w:val="B7472A"/>
        </w:rPr>
        <w:t xml:space="preserve">⚑ FLAG FOR COUNSEL: </w:t>
      </w:r>
      <w:r>
        <w:rPr>
          <w:color w:val="B7472A"/>
        </w:rPr>
        <w:t xml:space="preserve">see Section 3, item 10, above.</w:t>
      </w:r>
    </w:p>
    <w:p>
      <w:pPr>
        <w:pStyle w:val="Heading3"/>
        <w:spacing w:after="100" w:before="200"/>
      </w:pPr>
      <w:r>
        <w:t xml:space="preserve">7. Code of Conduct</w:t>
      </w:r>
    </w:p>
    <w:p>
      <w:pPr>
        <w:spacing w:after="160" w:line="276"/>
      </w:pPr>
      <w:r>
        <w:t xml:space="preserve">We expect all teachers, students, and parents to act with mutual respect and appropriate conduct. We may suspend or terminate any account that violates this code or is used abusively or fraudulently.</w:t>
      </w:r>
    </w:p>
    <w:p>
      <w:pPr>
        <w:pStyle w:val="Heading3"/>
        <w:spacing w:after="100" w:before="200"/>
      </w:pPr>
      <w:r>
        <w:t xml:space="preserve">8. Intellectual Property</w:t>
      </w:r>
    </w:p>
    <w:p>
      <w:pPr>
        <w:spacing w:after="160" w:line="276"/>
      </w:pPr>
      <w:r>
        <w:t xml:space="preserve">All curricula, learning materials, recordings, and trademarks used on Arabic Kids Academy are the exclusive intellectual property of 3-Tech and may not be copied or redistributed commercially without prior written permission.</w:t>
      </w:r>
    </w:p>
    <w:p>
      <w:pPr>
        <w:pStyle w:val="Heading3"/>
        <w:spacing w:after="100" w:before="200"/>
      </w:pPr>
      <w:r>
        <w:t xml:space="preserve">9. Limitation of Liability</w:t>
      </w:r>
    </w:p>
    <w:p>
      <w:pPr>
        <w:spacing w:after="160" w:line="276"/>
      </w:pPr>
      <w:r>
        <w:t xml:space="preserve">To the maximum extent permitted by applicable law, 3-Tech is not liable for any indirect, incidental, or consequential damages arising from use of the platform, without prejudice to any mandatory consumer rights that cannot be waived under the law of your country of residence.</w:t>
      </w:r>
    </w:p>
    <w:p>
      <w:pPr>
        <w:pStyle w:val="Heading3"/>
        <w:spacing w:after="100" w:before="200"/>
      </w:pPr>
      <w:r>
        <w:t xml:space="preserve">10. Governing Law &amp; Dispute Resolution</w:t>
      </w:r>
    </w:p>
    <w:p>
      <w:pPr>
        <w:shd w:fill="FDF0E8" w:val="clear"/>
        <w:spacing w:after="160" w:line="276"/>
      </w:pPr>
      <w:r>
        <w:t xml:space="preserve">These Terms are governed by and construed in accordance with the laws of the Netherlands, and any dispute arising from them is subject to the jurisdiction of the competent Dutch courts, without prejudice to any mandatory consumer-protection rights you have under the law of your country of residence.</w:t>
      </w:r>
    </w:p>
    <w:p>
      <w:pPr>
        <w:spacing w:after="160" w:line="276"/>
      </w:pPr>
      <w:r>
        <w:rPr>
          <w:b/>
          <w:bCs/>
          <w:color w:val="B7472A"/>
        </w:rPr>
        <w:t xml:space="preserve">⚑ FLAG FOR COUNSEL: </w:t>
      </w:r>
      <w:r>
        <w:rPr>
          <w:color w:val="B7472A"/>
        </w:rPr>
        <w:t xml:space="preserve">see Section 3, item 11, above.</w:t>
      </w:r>
    </w:p>
    <w:p>
      <w:pPr>
        <w:pStyle w:val="Heading3"/>
        <w:spacing w:after="100" w:before="200"/>
      </w:pPr>
      <w:r>
        <w:t xml:space="preserve">11. Changes to These Terms</w:t>
      </w:r>
    </w:p>
    <w:p>
      <w:pPr>
        <w:shd w:fill="FDF0E8" w:val="clear"/>
        <w:spacing w:after="160" w:line="276"/>
      </w:pPr>
      <w:r>
        <w:t xml:space="preserve">We may update these Terms from time to time. Material changes will be posted here with a new effective date, and we will notify you by email of changes that materially affect your subscription.</w:t>
      </w:r>
    </w:p>
    <w:p>
      <w:pPr>
        <w:spacing w:after="160" w:line="276"/>
      </w:pPr>
      <w:r>
        <w:rPr>
          <w:b/>
          <w:bCs/>
          <w:color w:val="B7472A"/>
        </w:rPr>
        <w:t xml:space="preserve">⚑ FLAG FOR COUNSEL: </w:t>
      </w:r>
      <w:r>
        <w:rPr>
          <w:color w:val="B7472A"/>
        </w:rPr>
        <w:t xml:space="preserve">see Section 3, item 3, above.</w:t>
      </w:r>
    </w:p>
    <w:p>
      <w:pPr>
        <w:pStyle w:val="Heading3"/>
        <w:spacing w:after="100" w:before="200"/>
      </w:pPr>
      <w:r>
        <w:t xml:space="preserve">12. Contact Us</w:t>
      </w:r>
    </w:p>
    <w:p>
      <w:pPr>
        <w:spacing w:after="160" w:line="276"/>
      </w:pPr>
      <w:r>
        <w:t xml:space="preserve">For any question about these Terms, please contact us at compliance@arabickidsacademy.com. 3-Tech — Groningen, the Netherlands.</w:t>
      </w:r>
    </w:p>
    <w:p>
      <w:pPr>
        <w:pStyle w:val="Heading1"/>
        <w:pageBreakBefore/>
        <w:spacing w:after="160" w:before="360"/>
      </w:pPr>
      <w:r>
        <w:t xml:space="preserve">Appendix B — Privacy Policy (current live text, English)</w:t>
      </w:r>
    </w:p>
    <w:p>
      <w:pPr>
        <w:spacing w:after="160" w:line="276"/>
      </w:pPr>
      <w:r>
        <w:rPr>
          <w:i/>
          <w:iCs/>
          <w:color w:val="666666"/>
        </w:rPr>
        <w:t xml:space="preserve">Reproduced exactly as published at arabickidsacademy.com/en/privacy as of September 17, 2026. Highlighted passages are cross-referenced to Section 3 above.</w:t>
      </w:r>
    </w:p>
    <w:p>
      <w:pPr>
        <w:pStyle w:val="Heading3"/>
        <w:spacing w:after="100" w:before="200"/>
      </w:pPr>
      <w:r>
        <w:t xml:space="preserve">1. Who Operates This Service</w:t>
      </w:r>
    </w:p>
    <w:p>
      <w:pPr>
        <w:shd w:fill="FDF0E8" w:val="clear"/>
        <w:spacing w:after="160" w:line="276"/>
      </w:pPr>
      <w:r>
        <w:t xml:space="preserve">Arabic Kids Academy (arabickidsacademy.com) is operated by 3-Tech, based in Groningen, the Netherlands. 3-Tech is the “data controller” responsible for the personal information described in this policy, and can be reached at privacy@arabickidsacademy.com.</w:t>
      </w:r>
    </w:p>
    <w:p>
      <w:pPr>
        <w:spacing w:after="160" w:line="276"/>
      </w:pPr>
      <w:r>
        <w:rPr>
          <w:b/>
          <w:bCs/>
          <w:color w:val="B7472A"/>
        </w:rPr>
        <w:t xml:space="preserve">⚑ FLAG FOR COUNSEL: </w:t>
      </w:r>
      <w:r>
        <w:rPr>
          <w:color w:val="B7472A"/>
        </w:rPr>
        <w:t xml:space="preserve">see Section 3, item 1, above.</w:t>
      </w:r>
    </w:p>
    <w:p>
      <w:pPr>
        <w:pStyle w:val="Heading3"/>
        <w:spacing w:after="100" w:before="200"/>
      </w:pPr>
      <w:r>
        <w:t xml:space="preserve">2. Our Commitment to Children's Privacy (COPPA &amp; GDPR)</w:t>
      </w:r>
    </w:p>
    <w:p>
      <w:pPr>
        <w:shd w:fill="FDF0E8" w:val="clear"/>
        <w:spacing w:after="160" w:line="276"/>
      </w:pPr>
      <w:r>
        <w:t xml:space="preserve">Any child under 13 is covered by the U.S. Children's Online Privacy Protection Act (COPPA), which requires verifiable parental consent before we collect any personal information. Under Article 8 of the EU General Data Protection Regulation (GDPR), the default age at which a child may consent for themselves is 16, though individual EU member states may lower this to as young as 13. To keep one consistent standard of protection regardless of where a family lives, we apply 16 as our own platform-wide threshold: no child can register on their own. Every child profile can only be created by a parent or guardian who first logs into their own verified adult account and then adds their child. That action — a logged-in parent account adding a child profile — is the mechanism by which we obtain and record parental consent.</w:t>
      </w:r>
    </w:p>
    <w:p>
      <w:pPr>
        <w:spacing w:after="160" w:line="276"/>
      </w:pPr>
      <w:r>
        <w:rPr>
          <w:b/>
          <w:bCs/>
          <w:color w:val="B7472A"/>
        </w:rPr>
        <w:t xml:space="preserve">⚑ FLAG FOR COUNSEL: </w:t>
      </w:r>
      <w:r>
        <w:rPr>
          <w:color w:val="B7472A"/>
        </w:rPr>
        <w:t xml:space="preserve">see Section 3, item 9, above.</w:t>
      </w:r>
    </w:p>
    <w:p>
      <w:pPr>
        <w:pStyle w:val="Heading3"/>
        <w:spacing w:after="100" w:before="200"/>
      </w:pPr>
      <w:r>
        <w:t xml:space="preserve">3. Information We Collect</w:t>
      </w:r>
    </w:p>
    <w:p>
      <w:pPr>
        <w:spacing w:after="160" w:line="276"/>
      </w:pPr>
      <w:r>
        <w:t xml:space="preserve">From the parent: name, email address, phone number, and billing address (for issuing tax invoices). We never receive your card details directly — payment is handled entirely by our payment processor, Stripe. About the child (entered by the parent): first and last name, date of birth, age group, native language, and optional fields such as gender or nationality. Learning data: class attendance, submitted assignments, assessment results, and audio recordings of recitation or pronunciation practice. Technical data: IP address and browser information, logged only for account security and fraud prevention. Internal teacher notes on a student's progress are visible only to that student's authorized teachers and school administrators — never to other parents or other students.</w:t>
      </w:r>
    </w:p>
    <w:p>
      <w:pPr>
        <w:pStyle w:val="Heading3"/>
        <w:spacing w:after="100" w:before="200"/>
      </w:pPr>
      <w:r>
        <w:t xml:space="preserve">4. How We Use This Information</w:t>
      </w:r>
    </w:p>
    <w:p>
      <w:pPr>
        <w:spacing w:after="160" w:line="276"/>
      </w:pPr>
      <w:r>
        <w:t xml:space="preserve">We use this information only to deliver classes and track learning progress, process your subscription and invoices, communicate with you about your account, keep the platform secure and prevent misuse, and comply with applicable legal or accounting obligations.</w:t>
      </w:r>
    </w:p>
    <w:p>
      <w:pPr>
        <w:pStyle w:val="Heading3"/>
        <w:spacing w:after="100" w:before="200"/>
      </w:pPr>
      <w:r>
        <w:t xml:space="preserve">5. Who We Share Information With</w:t>
      </w:r>
    </w:p>
    <w:p>
      <w:pPr>
        <w:shd w:fill="FDF0E8" w:val="clear"/>
        <w:spacing w:after="160" w:line="276"/>
      </w:pPr>
      <w:r>
        <w:t xml:space="preserve">Stripe — for payment processing only (PCI-DSS certified); Stripe never receives your child's learning records. The hosting and database providers that run the platform (currently Vercel and Neon). We do not sell your personal information, and we do not share it with ad networks or data brokers. Any transfer of data outside the Netherlands or the EU (for example, to the US-based providers above) relies on appropriate safeguards, such as those providers' standard contractual clauses.</w:t>
      </w:r>
    </w:p>
    <w:p>
      <w:pPr>
        <w:spacing w:after="160" w:line="276"/>
      </w:pPr>
      <w:r>
        <w:rPr>
          <w:b/>
          <w:bCs/>
          <w:color w:val="B7472A"/>
        </w:rPr>
        <w:t xml:space="preserve">⚑ FLAG FOR COUNSEL: </w:t>
      </w:r>
      <w:r>
        <w:rPr>
          <w:color w:val="B7472A"/>
        </w:rPr>
        <w:t xml:space="preserve">see Section 3, item 4, above.</w:t>
      </w:r>
    </w:p>
    <w:p>
      <w:pPr>
        <w:pStyle w:val="Heading3"/>
        <w:spacing w:after="100" w:before="200"/>
      </w:pPr>
      <w:r>
        <w:t xml:space="preserve">6. Data Retention</w:t>
      </w:r>
    </w:p>
    <w:p>
      <w:pPr>
        <w:shd w:fill="FDF0E8" w:val="clear"/>
        <w:spacing w:after="160" w:line="276"/>
      </w:pPr>
      <w:r>
        <w:t xml:space="preserve">We retain account and learning data for as long as the account remains active. If you close your account or request deletion, we will delete or anonymize your personal data within 90 days, except for billing records that tax and accounting law may require us to retain for longer.</w:t>
      </w:r>
    </w:p>
    <w:p>
      <w:pPr>
        <w:spacing w:after="160" w:line="276"/>
      </w:pPr>
      <w:r>
        <w:rPr>
          <w:b/>
          <w:bCs/>
          <w:color w:val="B7472A"/>
        </w:rPr>
        <w:t xml:space="preserve">⚑ FLAG FOR COUNSEL: </w:t>
      </w:r>
      <w:r>
        <w:rPr>
          <w:color w:val="B7472A"/>
        </w:rPr>
        <w:t xml:space="preserve">see Section 3, item 5, above.</w:t>
      </w:r>
    </w:p>
    <w:p>
      <w:pPr>
        <w:pStyle w:val="Heading3"/>
        <w:spacing w:after="100" w:before="200"/>
      </w:pPr>
      <w:r>
        <w:t xml:space="preserve">7. Your Rights as a Parent</w:t>
      </w:r>
    </w:p>
    <w:p>
      <w:pPr>
        <w:spacing w:after="160" w:line="276"/>
      </w:pPr>
      <w:r>
        <w:t xml:space="preserve">You may at any time request access to your child's data, ask us to correct it, request a copy of it, or request permanent deletion (“the right to be forgotten”) by emailing privacy@arabickidsacademy.com. We will respond within one month at the latest, as required under Article 12 of the GDPR. You may also withdraw your consent to the processing of your child's data at any time by requesting that your account be closed.</w:t>
      </w:r>
    </w:p>
    <w:p>
      <w:pPr>
        <w:pStyle w:val="Heading3"/>
        <w:spacing w:after="100" w:before="200"/>
      </w:pPr>
      <w:r>
        <w:t xml:space="preserve">8. Child Safety by Design</w:t>
      </w:r>
    </w:p>
    <w:p>
      <w:pPr>
        <w:spacing w:after="160" w:line="276"/>
      </w:pPr>
      <w:r>
        <w:t xml:space="preserve">No child profile can exist without an active parent account. Children cannot independently change account, billing, or profile settings. Any class-related communication takes place under the supervision of the assigned teacher.</w:t>
      </w:r>
    </w:p>
    <w:p>
      <w:pPr>
        <w:pStyle w:val="Heading3"/>
        <w:spacing w:after="100" w:before="200"/>
      </w:pPr>
      <w:r>
        <w:t xml:space="preserve">9. Changes to This Policy</w:t>
      </w:r>
    </w:p>
    <w:p>
      <w:pPr>
        <w:shd w:fill="FDF0E8" w:val="clear"/>
        <w:spacing w:after="160" w:line="276"/>
      </w:pPr>
      <w:r>
        <w:t xml:space="preserve">We may update this policy from time to time. Material changes will be posted here with a new effective date, and we will notify the account's parent by email if a change affects how we use their child's data.</w:t>
      </w:r>
    </w:p>
    <w:p>
      <w:pPr>
        <w:spacing w:after="160" w:line="276"/>
      </w:pPr>
      <w:r>
        <w:rPr>
          <w:b/>
          <w:bCs/>
          <w:color w:val="B7472A"/>
        </w:rPr>
        <w:t xml:space="preserve">⚑ FLAG FOR COUNSEL: </w:t>
      </w:r>
      <w:r>
        <w:rPr>
          <w:color w:val="B7472A"/>
        </w:rPr>
        <w:t xml:space="preserve">see Section 3, item 3, above.</w:t>
      </w:r>
    </w:p>
    <w:p>
      <w:pPr>
        <w:pStyle w:val="Heading3"/>
        <w:spacing w:after="100" w:before="200"/>
      </w:pPr>
      <w:r>
        <w:t xml:space="preserve">10. Contact Us</w:t>
      </w:r>
    </w:p>
    <w:p>
      <w:pPr>
        <w:spacing w:after="160" w:line="276"/>
      </w:pPr>
      <w:r>
        <w:t xml:space="preserve">For any privacy or child-safety question or request, please contact us at privacy@arabickidsacademy.com or compliance@arabickidsacademy.com. 3-Tech — Groningen, the Netherlands.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F4E79"/>
      <w:sz w:val="30"/>
      <w:szCs w:val="30"/>
    </w:rPr>
  </w:style>
  <w:style w:type="paragraph" w:styleId="Heading2">
    <w:name w:val="Heading 2"/>
    <w:basedOn w:val="Normal"/>
    <w:next w:val="Normal"/>
    <w:qFormat/>
    <w:pPr>
      <w:spacing w:after="120" w:before="280"/>
    </w:pPr>
    <w:rPr>
      <w:b/>
      <w:bCs/>
      <w:color w:val="2E5AAC"/>
      <w:sz w:val="25"/>
      <w:szCs w:val="25"/>
    </w:rPr>
  </w:style>
  <w:style w:type="paragraph" w:styleId="Heading3">
    <w:name w:val="Heading 3"/>
    <w:basedOn w:val="Normal"/>
    <w:next w:val="Normal"/>
    <w:qFormat/>
    <w:pPr>
      <w:spacing w:after="100" w:before="200"/>
    </w:pPr>
    <w:rPr>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2026-09-17T10:54:12.778Z</dcterms:created>
  <dcterms:modified xsi:type="dcterms:W3CDTF">2026-09-17T10:54:12.778Z</dcterms:modified>
</cp:coreProperties>
</file>

<file path=docProps/custom.xml><?xml version="1.0" encoding="utf-8"?>
<Properties xmlns="http://schemas.openxmlformats.org/officeDocument/2006/custom-properties" xmlns:vt="http://schemas.openxmlformats.org/officeDocument/2006/docPropsVTypes"/>
</file>