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AI Working Pack: SYN-101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keepLines/>
        <w:widowControl/>
        <w:shd w:fill="EAF0F6"/>
        <w:spacing w:before="80" w:after="200"/>
        <w:ind w:left="115" w:right="115"/>
      </w:pPr>
      <w:r>
        <w:rPr>
          <w:rFonts w:ascii="Aptos" w:hAnsi="Aptos"/>
          <w:b/>
          <w:color w:val="0B7A75"/>
          <w:sz w:val="14"/>
        </w:rPr>
        <w:t xml:space="preserve">PROJECT SLUG </w:t>
      </w:r>
      <w:r>
        <w:rPr>
          <w:rFonts w:ascii="Aptos" w:hAnsi="Aptos"/>
          <w:b/>
          <w:color w:val="17324D"/>
          <w:sz w:val="15"/>
        </w:rPr>
        <w:t>SYN-101</w:t>
      </w:r>
      <w:r>
        <w:rPr>
          <w:rFonts w:ascii="Aptos" w:hAnsi="Aptos"/>
          <w:color w:val="5F6B76"/>
          <w:sz w:val="14"/>
        </w:rPr>
        <w:t xml:space="preserve">   •   </w:t>
      </w:r>
      <w:r>
        <w:rPr>
          <w:rFonts w:ascii="Aptos" w:hAnsi="Aptos"/>
          <w:b/>
          <w:color w:val="0B7A75"/>
          <w:sz w:val="14"/>
        </w:rPr>
        <w:t xml:space="preserve">DATA CLASSIFICATION </w:t>
      </w:r>
      <w:r>
        <w:rPr>
          <w:rFonts w:ascii="Aptos" w:hAnsi="Aptos"/>
          <w:b/>
          <w:color w:val="17324D"/>
          <w:sz w:val="15"/>
        </w:rPr>
        <w:t>PUBLIC_OR_SYNTHETIC</w:t>
      </w:r>
    </w:p>
    <w:p>
      <w:pPr>
        <w:pStyle w:val="Heading2"/>
        <w:keepNext/>
        <w:widowControl/>
      </w:pPr>
      <w:r>
        <w:t>How to use this file</w:t>
      </w:r>
    </w:p>
    <w:p>
      <w:pPr>
        <w:widowControl/>
      </w:pPr>
      <w:r>
        <w:t>Attach this self-contained pack with a specific drafting request. Require the AI to cite the source basis for every scientific claim, preserve limitations, and leave approval decisions to qualified humans.</w:t>
      </w:r>
    </w:p>
    <w:p>
      <w:pPr>
        <w:pStyle w:val="Heading2"/>
        <w:keepNext/>
        <w:widowControl/>
      </w:pPr>
      <w:r>
        <w:t>Task for this session</w:t>
      </w:r>
    </w:p>
    <w:p>
      <w:pPr>
        <w:widowControl/>
      </w:pPr>
      <w:r>
        <w:t>Prepare a concise internal scientific briefing outline for the fictional PX-101 population PK analysis. Separate results, interpretation, unsupported draft claims, decisions needed, and required review.</w:t>
      </w:r>
    </w:p>
    <w:p>
      <w:pPr>
        <w:pStyle w:val="Heading2"/>
        <w:keepNext/>
        <w:widowControl/>
      </w:pPr>
      <w:r>
        <w:t>Safety Kernel</w:t>
      </w:r>
    </w:p>
    <w:p>
      <w:pPr>
        <w:pStyle w:val="ListBullet"/>
        <w:widowControl/>
      </w:pPr>
      <w:r>
        <w:t xml:space="preserve">Classification: </w:t>
      </w:r>
      <w:r>
        <w:rPr>
          <w:rFonts w:ascii="Aptos Mono" w:hAnsi="Aptos Mono"/>
          <w:color w:val="0B7A75"/>
          <w:sz w:val="17"/>
        </w:rPr>
        <w:t>PUBLIC_OR_SYNTHETIC</w:t>
      </w:r>
      <w:r>
        <w:t>.</w:t>
      </w:r>
    </w:p>
    <w:p>
      <w:pPr>
        <w:pStyle w:val="ListBullet"/>
        <w:widowControl/>
      </w:pPr>
      <w:r>
        <w:t>Do not infer real people, companies, products, studies, or patients.</w:t>
      </w:r>
    </w:p>
    <w:p>
      <w:pPr>
        <w:pStyle w:val="ListBullet"/>
        <w:widowControl/>
      </w:pPr>
      <w:r>
        <w:t>Do not provide medical advice or a dosing recommendation.</w:t>
      </w:r>
    </w:p>
    <w:p>
      <w:pPr>
        <w:pStyle w:val="ListBullet"/>
        <w:widowControl/>
      </w:pPr>
      <w:r>
        <w:t>Do not send, submit, publish, approve, or change an external system.</w:t>
      </w:r>
    </w:p>
    <w:p>
      <w:pPr>
        <w:pStyle w:val="ListBullet"/>
        <w:widowControl/>
      </w:pPr>
      <w:r>
        <w:t>Stop if a decision-changing conflict cannot be resolved from the stated authority order.</w:t>
      </w:r>
    </w:p>
    <w:p>
      <w:pPr>
        <w:pStyle w:val="Heading2"/>
        <w:keepNext/>
        <w:widowControl/>
      </w:pPr>
      <w:r>
        <w:t>Relevant Professional Constitution</w:t>
      </w:r>
    </w:p>
    <w:p>
      <w:pPr>
        <w:pStyle w:val="ListBullet"/>
        <w:widowControl/>
      </w:pPr>
      <w:r>
        <w:t>Completed analysis sources govern numeric results.</w:t>
      </w:r>
    </w:p>
    <w:p>
      <w:pPr>
        <w:pStyle w:val="ListBullet"/>
        <w:widowControl/>
      </w:pPr>
      <w:r>
        <w:t>Project briefs govern purpose and planned scope.</w:t>
      </w:r>
    </w:p>
    <w:p>
      <w:pPr>
        <w:pStyle w:val="ListBullet"/>
        <w:widowControl/>
      </w:pPr>
      <w:r>
        <w:t>Draft conclusions are claims to review, not facts.</w:t>
      </w:r>
    </w:p>
    <w:p>
      <w:pPr>
        <w:pStyle w:val="ListBullet"/>
        <w:widowControl/>
      </w:pPr>
      <w:r>
        <w:t>Preserve exact units, uncertainty levels, populations, dates, and qualifiers.</w:t>
      </w:r>
    </w:p>
    <w:p>
      <w:pPr>
        <w:pStyle w:val="ListBullet"/>
        <w:widowControl/>
      </w:pPr>
      <w:r>
        <w:t>Never turn an unrepresented population into a no-effect conclusion.</w:t>
      </w:r>
    </w:p>
    <w:p>
      <w:pPr>
        <w:pStyle w:val="ListBullet"/>
        <w:widowControl/>
      </w:pPr>
      <w:r>
        <w:t>Scientific interpretations require qualified clinical pharmacology and pharmacometrics review.</w:t>
      </w:r>
    </w:p>
    <w:p>
      <w:pPr>
        <w:pStyle w:val="Heading2"/>
        <w:keepNext/>
        <w:widowControl/>
      </w:pPr>
      <w:r>
        <w:t>Project Capsule</w:t>
      </w:r>
    </w:p>
    <w:p>
      <w:pPr>
        <w:widowControl/>
      </w:pPr>
      <w:r>
        <w:t>Purpose: prepare an internal synthetic briefing and identify the next model-informed question.</w:t>
      </w:r>
    </w:p>
    <w:p>
      <w:pPr>
        <w:widowControl/>
      </w:pPr>
      <w:r>
        <w:t>Confirmed results:</w:t>
      </w:r>
    </w:p>
    <w:p>
      <w:pPr>
        <w:pStyle w:val="ListBullet"/>
        <w:widowControl/>
      </w:pPr>
      <w:r>
        <w:t>apparent clearance: 14.2 L/h;</w:t>
      </w:r>
    </w:p>
    <w:p>
      <w:pPr>
        <w:pStyle w:val="ListBullet"/>
        <w:widowControl/>
      </w:pPr>
      <w:r>
        <w:t>apparent volume: 128 L;</w:t>
      </w:r>
    </w:p>
    <w:p>
      <w:pPr>
        <w:pStyle w:val="ListBullet"/>
        <w:widowControl/>
      </w:pPr>
      <w:r>
        <w:t>body weight retained on clearance with fixed allometric scaling;</w:t>
      </w:r>
    </w:p>
    <w:p>
      <w:pPr>
        <w:pStyle w:val="ListBullet"/>
        <w:widowControl/>
      </w:pPr>
      <w:r>
        <w:t>exploratory renal-function effect imprecise;</w:t>
      </w:r>
    </w:p>
    <w:p>
      <w:pPr>
        <w:pStyle w:val="ListBullet"/>
        <w:widowControl/>
      </w:pPr>
      <w:r>
        <w:t>severe renal impairment not represented;</w:t>
      </w:r>
    </w:p>
    <w:p>
      <w:pPr>
        <w:pStyle w:val="ListBullet"/>
        <w:widowControl/>
      </w:pPr>
      <w:r>
        <w:t>formulation not retained; and</w:t>
      </w:r>
    </w:p>
    <w:p>
      <w:pPr>
        <w:pStyle w:val="ListBullet"/>
        <w:widowControl/>
      </w:pPr>
      <w:r>
        <w:t>parameter uncertainty reported with 90% confidence intervals.</w:t>
      </w:r>
    </w:p>
    <w:p>
      <w:pPr>
        <w:widowControl/>
      </w:pPr>
      <w:r>
        <w:t>Unresolved: the objective and scope of the next renal-function simulation.</w:t>
      </w:r>
    </w:p>
    <w:p>
      <w:pPr>
        <w:pStyle w:val="Heading2"/>
        <w:keepNext/>
        <w:widowControl/>
      </w:pPr>
      <w:r>
        <w:t>Required output</w:t>
      </w:r>
    </w:p>
    <w:p>
      <w:pPr>
        <w:widowControl/>
      </w:pPr>
      <w:r>
        <w:t>Return:</w:t>
      </w:r>
    </w:p>
    <w:p>
      <w:pPr>
        <w:pStyle w:val="ListNumber"/>
        <w:widowControl/>
        <w:numPr>
          <w:ilvl w:val="0"/>
          <w:numId w:val="10"/>
        </w:numPr>
      </w:pPr>
      <w:r>
        <w:t>one-sentence purpose;</w:t>
      </w:r>
    </w:p>
    <w:p>
      <w:pPr>
        <w:pStyle w:val="ListNumber"/>
        <w:widowControl/>
        <w:numPr>
          <w:ilvl w:val="0"/>
          <w:numId w:val="10"/>
        </w:numPr>
      </w:pPr>
      <w:r>
        <w:t>confirmed results with source labels;</w:t>
      </w:r>
    </w:p>
    <w:p>
      <w:pPr>
        <w:pStyle w:val="ListNumber"/>
        <w:widowControl/>
        <w:numPr>
          <w:ilvl w:val="0"/>
          <w:numId w:val="10"/>
        </w:numPr>
      </w:pPr>
      <w:r>
        <w:t>interpretation limited to represented evidence;</w:t>
      </w:r>
    </w:p>
    <w:p>
      <w:pPr>
        <w:pStyle w:val="ListNumber"/>
        <w:widowControl/>
        <w:numPr>
          <w:ilvl w:val="0"/>
          <w:numId w:val="10"/>
        </w:numPr>
      </w:pPr>
      <w:r>
        <w:t>a table of draft claims to retain, revise, or reject;</w:t>
      </w:r>
    </w:p>
    <w:p>
      <w:pPr>
        <w:pStyle w:val="ListNumber"/>
        <w:widowControl/>
        <w:numPr>
          <w:ilvl w:val="0"/>
          <w:numId w:val="10"/>
        </w:numPr>
      </w:pPr>
      <w:r>
        <w:t>decisions and open questions; and</w:t>
      </w:r>
    </w:p>
    <w:p>
      <w:pPr>
        <w:pStyle w:val="ListNumber"/>
        <w:widowControl/>
        <w:numPr>
          <w:ilvl w:val="0"/>
          <w:numId w:val="10"/>
        </w:numPr>
      </w:pPr>
      <w:r>
        <w:t>required human review before external use.</w:t>
      </w:r>
    </w:p>
    <w:p>
      <w:pPr>
        <w:pStyle w:val="Heading2"/>
        <w:keepNext/>
        <w:widowControl/>
      </w:pPr>
      <w:r>
        <w:t>Sources and authority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Aptos Mono" w:hAnsi="Aptos Mono"/>
          <w:color w:val="0B7A75"/>
          <w:sz w:val="17"/>
        </w:rPr>
        <w:t>Analysis-Summary.md</w:t>
      </w:r>
      <w:r>
        <w:t>: completed results.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Aptos Mono" w:hAnsi="Aptos Mono"/>
          <w:color w:val="0B7A75"/>
          <w:sz w:val="17"/>
        </w:rPr>
        <w:t>Project-Brief.md</w:t>
      </w:r>
      <w:r>
        <w:t>: purpose, audience, planned scope, and constraints.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Aptos Mono" w:hAnsi="Aptos Mono"/>
          <w:color w:val="0B7A75"/>
          <w:sz w:val="17"/>
        </w:rPr>
        <w:t>Draft-Conclusion.md</w:t>
      </w:r>
      <w:r>
        <w:t>: unapproved draft claims only.</w:t>
      </w:r>
    </w:p>
    <w:p>
      <w:pPr>
        <w:pStyle w:val="Heading2"/>
        <w:keepNext/>
        <w:widowControl/>
      </w:pPr>
      <w:r>
        <w:t>Unknowns, conflicts, and assumptions</w:t>
      </w:r>
    </w:p>
    <w:p>
      <w:pPr>
        <w:pStyle w:val="ListBullet"/>
        <w:widowControl/>
      </w:pPr>
      <w:r>
        <w:t>12.4 L/h is superseded as a planning assumption by the completed 14.2 L/h estimate.</w:t>
      </w:r>
    </w:p>
    <w:p>
      <w:pPr>
        <w:pStyle w:val="ListBullet"/>
        <w:widowControl/>
      </w:pPr>
      <w:r>
        <w:t>The draft's 80% confidence interval conflicts with the final 90% interval.</w:t>
      </w:r>
    </w:p>
    <w:p>
      <w:pPr>
        <w:pStyle w:val="ListBullet"/>
        <w:widowControl/>
      </w:pPr>
      <w:r>
        <w:t>No-adjustment language for severe renal impairment is unsupported.</w:t>
      </w:r>
    </w:p>
    <w:p>
      <w:pPr>
        <w:pStyle w:val="ListBullet"/>
        <w:widowControl/>
      </w:pPr>
      <w:r>
        <w:t>The next simulation is not yet decided.</w:t>
      </w:r>
    </w:p>
    <w:p>
      <w:pPr>
        <w:pStyle w:val="ListBullet"/>
        <w:widowControl/>
      </w:pPr>
      <w:r>
        <w:t>No real organizational approval pathway is assumed.</w:t>
      </w:r>
    </w:p>
    <w:p>
      <w:pPr>
        <w:pStyle w:val="Heading2"/>
        <w:keepNext/>
        <w:widowControl/>
      </w:pPr>
      <w:r>
        <w:t>Human review before external use</w:t>
      </w:r>
    </w:p>
    <w:p>
      <w:pPr>
        <w:widowControl/>
      </w:pPr>
      <w:r>
        <w:t>The fictional pharmacometrics lead and clinical pharmacology lead must verify the scientific content. Accountable medical, regulatory, statistical, safety, and labeling functions must review conclusions in their domains. This pack is a synthetic educational artifact and must not be used as clinical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AI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AIQuote">
    <w:name w:val="ClinPharm AI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AICode">
    <w:name w:val="ClinPharm AI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Working Pack SYN 101</dc:title>
  <dc:subject>Portable professional and project context</dc:subject>
  <dc:creator>ClinPharm AI</dc:creator>
  <cp:keywords>ClinPharm AI, pharmaceutical, professional context</cp:keywords>
  <dc:description>Generated from canonical Markdown.</dc:description>
  <cp:lastModifiedBy>ClinPharm AI</cp:lastModifiedBy>
  <cp:revision>1</cp:revision>
  <dcterms:created xsi:type="dcterms:W3CDTF">2026-07-30T00:00:00Z</dcterms:created>
  <dcterms:modified xsi:type="dcterms:W3CDTF">2026-07-30T00:00:00Z</dcterms:modified>
  <cp:category/>
</cp:coreProperties>
</file>