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Benefit-Risk Effects Table — degraded Markdown starter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widowControl/>
      </w:pPr>
      <w:r>
        <w:t xml:space="preserve">This starter structures already-computed effects with their sources. It has </w:t>
      </w:r>
      <w:r>
        <w:rPr>
          <w:b/>
        </w:rPr>
        <w:t>no installed scripts or bundled references</w:t>
      </w:r>
      <w:r>
        <w:t>: manually verify every field against the supplied source and do not present this starter as equivalent to the installed skill.</w:t>
      </w:r>
    </w:p>
    <w:p>
      <w:pPr>
        <w:widowControl/>
      </w:pPr>
      <w:r>
        <w:rPr>
          <w:b/>
        </w:rPr>
        <w:t>Human-only boundary:</w:t>
      </w:r>
      <w:r>
        <w:t xml:space="preserve"> do not rank effects, decide what matters, or draw a benefit-risk conclusion.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rPr>
          <w:cantSplit/>
          <w:tblHeader w:val="true"/>
        </w:trPr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Effect ID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Population / analysis set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 / time point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Comparator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Effect as written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Uncertainty as written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/ version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Locator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E-001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UNKNOWN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widowControl/>
      </w:pPr>
      <w:r>
        <w:rPr>
          <w:b/>
        </w:rPr>
        <w:t>Coverage:</w:t>
      </w:r>
      <w:r>
        <w:t xml:space="preserve"> rows with supplied sources: </w:t>
      </w:r>
      <w:r>
        <w:rPr>
          <w:rFonts w:ascii="Aptos Mono" w:hAnsi="Aptos Mono"/>
          <w:color w:val="0B7A75"/>
          <w:sz w:val="17"/>
        </w:rPr>
        <w:t>__/__</w:t>
      </w:r>
      <w:r>
        <w:t xml:space="preserve">. Missing source/field: </w:t>
      </w:r>
      <w:r>
        <w:rPr>
          <w:rFonts w:ascii="Aptos Mono" w:hAnsi="Aptos Mono"/>
          <w:color w:val="0B7A75"/>
          <w:sz w:val="17"/>
        </w:rPr>
        <w:t>NEEDS_INPUT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 Risk Effects Table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