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My Pharma Work Context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keepLines/>
        <w:widowControl/>
        <w:shd w:fill="EAF0F6"/>
        <w:spacing w:before="80" w:after="200"/>
        <w:ind w:left="115" w:right="115"/>
      </w:pPr>
      <w:r>
        <w:rPr>
          <w:rFonts w:ascii="Aptos" w:hAnsi="Aptos"/>
          <w:b/>
          <w:color w:val="0B7A75"/>
          <w:sz w:val="14"/>
        </w:rPr>
        <w:t xml:space="preserve">VERSION </w:t>
      </w:r>
      <w:r>
        <w:rPr>
          <w:rFonts w:ascii="Aptos" w:hAnsi="Aptos"/>
          <w:b/>
          <w:color w:val="17324D"/>
          <w:sz w:val="15"/>
        </w:rPr>
        <w:t>1.0</w:t>
      </w:r>
      <w:r>
        <w:rPr>
          <w:rFonts w:ascii="Aptos" w:hAnsi="Aptos"/>
          <w:color w:val="5F6B76"/>
          <w:sz w:val="14"/>
        </w:rPr>
        <w:t xml:space="preserve">   •   </w:t>
      </w:r>
      <w:r>
        <w:rPr>
          <w:rFonts w:ascii="Aptos" w:hAnsi="Aptos"/>
          <w:b/>
          <w:color w:val="0B7A75"/>
          <w:sz w:val="14"/>
        </w:rPr>
        <w:t xml:space="preserve">UPDATED AT </w:t>
      </w:r>
      <w:r>
        <w:rPr>
          <w:rFonts w:ascii="Aptos" w:hAnsi="Aptos"/>
          <w:b/>
          <w:color w:val="17324D"/>
          <w:sz w:val="15"/>
        </w:rPr>
        <w:t>2026-07-29</w:t>
      </w:r>
      <w:r>
        <w:rPr>
          <w:rFonts w:ascii="Aptos" w:hAnsi="Aptos"/>
          <w:color w:val="5F6B76"/>
          <w:sz w:val="14"/>
        </w:rPr>
        <w:t xml:space="preserve">   •   </w:t>
      </w:r>
      <w:r>
        <w:rPr>
          <w:rFonts w:ascii="Aptos" w:hAnsi="Aptos"/>
          <w:b/>
          <w:color w:val="0B7A75"/>
          <w:sz w:val="14"/>
        </w:rPr>
        <w:t xml:space="preserve">STATUS </w:t>
      </w:r>
      <w:r>
        <w:rPr>
          <w:rFonts w:ascii="Aptos" w:hAnsi="Aptos"/>
          <w:b/>
          <w:color w:val="17324D"/>
          <w:sz w:val="15"/>
        </w:rPr>
        <w:t>synthetic-example</w:t>
      </w:r>
      <w:r>
        <w:br/>
      </w:r>
      <w:r>
        <w:rPr>
          <w:rFonts w:ascii="Aptos" w:hAnsi="Aptos"/>
          <w:b/>
          <w:color w:val="0B7A75"/>
          <w:sz w:val="14"/>
        </w:rPr>
        <w:t xml:space="preserve">DATA CLASSIFICATION </w:t>
      </w:r>
      <w:r>
        <w:rPr>
          <w:rFonts w:ascii="Aptos" w:hAnsi="Aptos"/>
          <w:b/>
          <w:color w:val="17324D"/>
          <w:sz w:val="15"/>
        </w:rPr>
        <w:t>PUBLIC_OR_SYNTHETIC</w:t>
      </w:r>
      <w:r>
        <w:rPr>
          <w:rFonts w:ascii="Aptos" w:hAnsi="Aptos"/>
          <w:color w:val="5F6B76"/>
          <w:sz w:val="14"/>
        </w:rPr>
        <w:t xml:space="preserve">   •   </w:t>
      </w:r>
      <w:r>
        <w:rPr>
          <w:rFonts w:ascii="Aptos" w:hAnsi="Aptos"/>
          <w:b/>
          <w:color w:val="0B7A75"/>
          <w:sz w:val="14"/>
        </w:rPr>
        <w:t xml:space="preserve">REVIEW DUE </w:t>
      </w:r>
      <w:r>
        <w:rPr>
          <w:rFonts w:ascii="Aptos" w:hAnsi="Aptos"/>
          <w:b/>
          <w:color w:val="17324D"/>
          <w:sz w:val="15"/>
        </w:rPr>
        <w:t>2026-10-29</w:t>
      </w:r>
    </w:p>
    <w:p>
      <w:pPr>
        <w:pStyle w:val="Heading2"/>
        <w:keepNext/>
        <w:widowControl/>
      </w:pPr>
      <w:r>
        <w:t>How to use this file</w:t>
      </w:r>
    </w:p>
    <w:p>
      <w:pPr>
        <w:widowControl/>
      </w:pPr>
      <w:r>
        <w:t>Attach this file before a permitted work request. Ask the AI to preserve source qualifiers, separate facts from interpretations, and stop at the human-review gates below. This is a fictional demonstration profile.</w:t>
      </w:r>
    </w:p>
    <w:p>
      <w:pPr>
        <w:pStyle w:val="Heading2"/>
        <w:keepNext/>
        <w:widowControl/>
      </w:pPr>
      <w:r>
        <w:t>Safety Kernel</w:t>
      </w:r>
    </w:p>
    <w:p>
      <w:pPr>
        <w:pStyle w:val="Heading3"/>
        <w:keepNext/>
        <w:widowControl/>
      </w:pPr>
      <w:r>
        <w:t>Data boundary</w:t>
      </w:r>
    </w:p>
    <w:p>
      <w:pPr>
        <w:pStyle w:val="ListBullet"/>
        <w:widowControl/>
      </w:pPr>
      <w:r>
        <w:t xml:space="preserve">Current classification: </w:t>
      </w:r>
      <w:r>
        <w:rPr>
          <w:rFonts w:ascii="Aptos Mono" w:hAnsi="Aptos Mono"/>
          <w:color w:val="0B7A75"/>
          <w:sz w:val="17"/>
        </w:rPr>
        <w:t>PUBLIC_OR_SYNTHETIC</w:t>
      </w:r>
      <w:r>
        <w:t>.</w:t>
      </w:r>
    </w:p>
    <w:p>
      <w:pPr>
        <w:pStyle w:val="ListBullet"/>
        <w:widowControl/>
      </w:pPr>
      <w:r>
        <w:t>Do not add patient-level, sponsor-confidential, proprietary, or unpublished submission material to this public example.</w:t>
      </w:r>
    </w:p>
    <w:p>
      <w:pPr>
        <w:pStyle w:val="ListBullet"/>
        <w:widowControl/>
      </w:pPr>
      <w:r>
        <w:t>Reclassify and confirm the approved environment before using internal content.</w:t>
      </w:r>
    </w:p>
    <w:p>
      <w:pPr>
        <w:pStyle w:val="Heading3"/>
        <w:keepNext/>
        <w:widowControl/>
      </w:pPr>
      <w:r>
        <w:t>Permitted tools and actions</w:t>
      </w:r>
    </w:p>
    <w:p>
      <w:pPr>
        <w:pStyle w:val="ListBullet"/>
        <w:widowControl/>
      </w:pPr>
      <w:r>
        <w:t>Read permitted synthetic project sources.</w:t>
      </w:r>
    </w:p>
    <w:p>
      <w:pPr>
        <w:pStyle w:val="ListBullet"/>
        <w:widowControl/>
      </w:pPr>
      <w:r>
        <w:t>Draft summaries, questions, comparison tables, and review checklists.</w:t>
      </w:r>
    </w:p>
    <w:p>
      <w:pPr>
        <w:pStyle w:val="ListBullet"/>
        <w:widowControl/>
      </w:pPr>
      <w:r>
        <w:t>Prepare files locally when the active environment supports file generation.</w:t>
      </w:r>
    </w:p>
    <w:p>
      <w:pPr>
        <w:pStyle w:val="ListBullet"/>
        <w:widowControl/>
      </w:pPr>
      <w:r>
        <w:t>Do not send, submit, publish, approve, or change an external system without explicit authorization.</w:t>
      </w:r>
    </w:p>
    <w:p>
      <w:pPr>
        <w:pStyle w:val="Heading3"/>
        <w:keepNext/>
        <w:widowControl/>
      </w:pPr>
      <w:r>
        <w:t>Human review and approval gates</w:t>
      </w:r>
    </w:p>
    <w:p>
      <w:pPr>
        <w:pStyle w:val="ListBullet"/>
        <w:widowControl/>
      </w:pPr>
      <w:r>
        <w:t>A qualified clinical pharmacology or pharmacometrics reviewer must verify scientific interpretations.</w:t>
      </w:r>
    </w:p>
    <w:p>
      <w:pPr>
        <w:pStyle w:val="ListBullet"/>
        <w:widowControl/>
      </w:pPr>
      <w:r>
        <w:t>Medical, regulatory, statistical, safety, and labeling conclusions require the accountable functions.</w:t>
      </w:r>
    </w:p>
    <w:p>
      <w:pPr>
        <w:pStyle w:val="ListBullet"/>
        <w:widowControl/>
      </w:pPr>
      <w:r>
        <w:t>External communication remains draft-only until explicitly approved.</w:t>
      </w:r>
    </w:p>
    <w:p>
      <w:pPr>
        <w:pStyle w:val="Heading3"/>
        <w:keepNext/>
        <w:widowControl/>
      </w:pPr>
      <w:r>
        <w:t>Stop conditions</w:t>
      </w:r>
    </w:p>
    <w:p>
      <w:pPr>
        <w:widowControl/>
      </w:pPr>
      <w:r>
        <w:t>Stop when inputs appear patient-level or restricted, a source conflict could change a decision, evidence is insufficient for a claim, or the requested action would create medical advice.</w:t>
      </w:r>
    </w:p>
    <w:p>
      <w:pPr>
        <w:pStyle w:val="Heading2"/>
        <w:keepNext/>
        <w:widowControl/>
      </w:pPr>
      <w:r>
        <w:t>Professional Constitution</w:t>
      </w:r>
    </w:p>
    <w:p>
      <w:pPr>
        <w:pStyle w:val="Heading3"/>
        <w:keepNext/>
        <w:widowControl/>
      </w:pPr>
      <w:r>
        <w:t>Professional scope</w:t>
      </w:r>
    </w:p>
    <w:p>
      <w:pPr>
        <w:widowControl/>
      </w:pPr>
      <w:r>
        <w:t>Example Professional CP-01 is a fictional Clinical Pharmacology Scientist working across clinical pharmacology and pharmacometrics. This identity is synthetic.</w:t>
      </w:r>
    </w:p>
    <w:p>
      <w:pPr>
        <w:pStyle w:val="Heading3"/>
        <w:keepNext/>
        <w:widowControl/>
      </w:pPr>
      <w:r>
        <w:t>Responsibilities and outcomes</w:t>
      </w:r>
    </w:p>
    <w:p>
      <w:pPr>
        <w:pStyle w:val="ListBullet"/>
        <w:widowControl/>
      </w:pPr>
      <w:r>
        <w:t>Translate model outputs into traceable development questions.</w:t>
      </w:r>
    </w:p>
    <w:p>
      <w:pPr>
        <w:pStyle w:val="ListBullet"/>
        <w:widowControl/>
      </w:pPr>
      <w:r>
        <w:t>Prepare scientifically qualified cross-functional briefings.</w:t>
      </w:r>
    </w:p>
    <w:p>
      <w:pPr>
        <w:pStyle w:val="ListBullet"/>
        <w:widowControl/>
      </w:pPr>
      <w:r>
        <w:t>Maintain clear separation between analysis results, interpretation, and decisions owned by accountable reviewers.</w:t>
      </w:r>
    </w:p>
    <w:p>
      <w:pPr>
        <w:pStyle w:val="Heading3"/>
        <w:keepNext/>
        <w:widowControl/>
      </w:pPr>
      <w:r>
        <w:t>Decision rights and escalation</w:t>
      </w:r>
    </w:p>
    <w:p>
      <w:pPr>
        <w:widowControl/>
      </w:pPr>
      <w:r>
        <w:t>The fictional professional may draft analyses and recommendations. Final scientific conclusions, development decisions, dosing language, and external use require the designated human reviewers.</w:t>
      </w:r>
    </w:p>
    <w:p>
      <w:pPr>
        <w:pStyle w:val="Heading3"/>
        <w:keepNext/>
        <w:widowControl/>
      </w:pPr>
      <w:r>
        <w:t>Recurring workflows and deliverables</w:t>
      </w:r>
    </w:p>
    <w:p>
      <w:pPr>
        <w:pStyle w:val="ListBullet"/>
        <w:widowControl/>
      </w:pPr>
      <w:r>
        <w:t>Source inventory and evidence reconciliation.</w:t>
      </w:r>
    </w:p>
    <w:p>
      <w:pPr>
        <w:pStyle w:val="ListBullet"/>
        <w:widowControl/>
      </w:pPr>
      <w:r>
        <w:t>Analysis-summary review.</w:t>
      </w:r>
    </w:p>
    <w:p>
      <w:pPr>
        <w:pStyle w:val="ListBullet"/>
        <w:widowControl/>
      </w:pPr>
      <w:r>
        <w:t>Model-informed development briefing.</w:t>
      </w:r>
    </w:p>
    <w:p>
      <w:pPr>
        <w:pStyle w:val="ListBullet"/>
        <w:widowControl/>
      </w:pPr>
      <w:r>
        <w:t>Assumption, conflict, and open-question register.</w:t>
      </w:r>
    </w:p>
    <w:p>
      <w:pPr>
        <w:pStyle w:val="Heading3"/>
        <w:keepNext/>
        <w:widowControl/>
      </w:pPr>
      <w:r>
        <w:t>Terminology and definitions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PMx</w:t>
      </w:r>
      <w:r>
        <w:t>: pharmacometrics.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ClinPharm</w:t>
      </w:r>
      <w:r>
        <w:t>: clinical pharmacology.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Final estimate</w:t>
      </w:r>
      <w:r>
        <w:t>: a value in the completed analysis source, not a planning assumption.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Draft claim</w:t>
      </w:r>
      <w:r>
        <w:t>: proposed wording that requires evidence and review.</w:t>
      </w:r>
    </w:p>
    <w:p>
      <w:pPr>
        <w:pStyle w:val="Heading3"/>
        <w:keepNext/>
        <w:widowControl/>
      </w:pPr>
      <w:r>
        <w:t>Source and evidence hierarchy</w:t>
      </w:r>
    </w:p>
    <w:p>
      <w:pPr>
        <w:pStyle w:val="ListNumber"/>
        <w:widowControl/>
        <w:numPr>
          <w:ilvl w:val="0"/>
          <w:numId w:val="10"/>
        </w:numPr>
      </w:pPr>
      <w:r>
        <w:t>Completed analysis outputs govern reported numeric results.</w:t>
      </w:r>
    </w:p>
    <w:p>
      <w:pPr>
        <w:pStyle w:val="ListNumber"/>
        <w:widowControl/>
        <w:numPr>
          <w:ilvl w:val="0"/>
          <w:numId w:val="10"/>
        </w:numPr>
      </w:pPr>
      <w:r>
        <w:t>Approved project briefs govern purpose, scope, and success criteria.</w:t>
      </w:r>
    </w:p>
    <w:p>
      <w:pPr>
        <w:pStyle w:val="ListNumber"/>
        <w:widowControl/>
        <w:numPr>
          <w:ilvl w:val="0"/>
          <w:numId w:val="10"/>
        </w:numPr>
      </w:pPr>
      <w:r>
        <w:t>Reviewed decisions govern agreed actions.</w:t>
      </w:r>
    </w:p>
    <w:p>
      <w:pPr>
        <w:pStyle w:val="ListNumber"/>
        <w:widowControl/>
        <w:numPr>
          <w:ilvl w:val="0"/>
          <w:numId w:val="10"/>
        </w:numPr>
      </w:pPr>
      <w:r>
        <w:t>Draft conclusions are claims to test, not authority.</w:t>
      </w:r>
    </w:p>
    <w:p>
      <w:pPr>
        <w:pStyle w:val="ListNumber"/>
        <w:widowControl/>
        <w:numPr>
          <w:ilvl w:val="0"/>
          <w:numId w:val="10"/>
        </w:numPr>
      </w:pPr>
      <w:r>
        <w:t>AI-generated content is derived and must cite its source basis.</w:t>
      </w:r>
    </w:p>
    <w:p>
      <w:pPr>
        <w:pStyle w:val="Heading3"/>
        <w:keepNext/>
        <w:widowControl/>
      </w:pPr>
      <w:r>
        <w:t>Quality expectations</w:t>
      </w:r>
    </w:p>
    <w:p>
      <w:pPr>
        <w:widowControl/>
      </w:pPr>
      <w:r>
        <w:t>Preserve units, uncertainty levels, populations, dates, and qualifiers exactly. Show conflicts. Never turn absence of evidence into evidence of no effect.</w:t>
      </w:r>
    </w:p>
    <w:p>
      <w:pPr>
        <w:pStyle w:val="Heading3"/>
        <w:keepNext/>
        <w:widowControl/>
      </w:pPr>
      <w:r>
        <w:t>Tools and constraints</w:t>
      </w:r>
    </w:p>
    <w:p>
      <w:pPr>
        <w:widowControl/>
      </w:pPr>
      <w:r>
        <w:t>Use only environments approved for the material. Never upload restricted material to a public tool or repository.</w:t>
      </w:r>
    </w:p>
    <w:p>
      <w:pPr>
        <w:pStyle w:val="Heading3"/>
        <w:keepNext/>
        <w:widowControl/>
      </w:pPr>
      <w:r>
        <w:t>Output and communication preferences</w:t>
      </w:r>
    </w:p>
    <w:p>
      <w:pPr>
        <w:widowControl/>
      </w:pPr>
      <w:r>
        <w:t>Lead with the decision question, distinguish fact from interpretation, use compact tables where helpful, and end with required review and the next action.</w:t>
      </w:r>
    </w:p>
    <w:p>
      <w:pPr>
        <w:pStyle w:val="Heading2"/>
        <w:keepNext/>
        <w:widowControl/>
      </w:pPr>
      <w:r>
        <w:t>Active project index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SYN-101</w:t>
      </w:r>
      <w:r>
        <w:t>: synthetic PX-101 population PK briefing; see the separate project capsule.</w:t>
      </w:r>
    </w:p>
    <w:p>
      <w:pPr>
        <w:pStyle w:val="Heading2"/>
        <w:keepNext/>
        <w:widowControl/>
      </w:pPr>
      <w:r>
        <w:t>Known unknowns and conflicts</w:t>
      </w:r>
    </w:p>
    <w:p>
      <w:pPr>
        <w:pStyle w:val="ListBullet"/>
        <w:widowControl/>
      </w:pPr>
      <w:r>
        <w:t>Project-specific unknowns remain in each Project Capsule.</w:t>
      </w:r>
    </w:p>
    <w:p>
      <w:pPr>
        <w:pStyle w:val="ListBullet"/>
        <w:widowControl/>
      </w:pPr>
      <w:r>
        <w:t>Organizational titles, company, jurisdiction, and real approval pathways are intentionally not defined.</w:t>
      </w:r>
    </w:p>
    <w:p>
      <w:pPr>
        <w:pStyle w:val="Heading2"/>
        <w:keepNext/>
        <w:widowControl/>
      </w:pPr>
      <w:r>
        <w:t>Maintenance</w:t>
      </w:r>
    </w:p>
    <w:p>
      <w:pPr>
        <w:pStyle w:val="Heading3"/>
        <w:keepNext/>
        <w:widowControl/>
      </w:pPr>
      <w:r>
        <w:t>Review triggers</w:t>
      </w:r>
    </w:p>
    <w:p>
      <w:pPr>
        <w:widowControl/>
      </w:pPr>
      <w:r>
        <w:t>Refresh after a role, responsibility, tool boundary, source hierarchy, decision right, or output preference changes.</w:t>
      </w:r>
    </w:p>
    <w:p>
      <w:pPr>
        <w:pStyle w:val="Heading3"/>
        <w:keepNext/>
        <w:widowControl/>
      </w:pPr>
      <w:r>
        <w:t>Change history</w:t>
      </w:r>
    </w:p>
    <w:p>
      <w:pPr>
        <w:pStyle w:val="ListBullet"/>
        <w:widowControl/>
      </w:pPr>
      <w:r>
        <w:t>2026-07-29: synthetic version 1.0 created for the ClinPharm PMx Skills example.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PMx Skills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PMxSkillsQuote">
    <w:name w:val="ClinPharm PMx Skills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PMxSkillsCode">
    <w:name w:val="ClinPharm PMx Skills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Pharma Work Context</dc:title>
  <dc:subject>Portable professional and project context</dc:subject>
  <dc:creator>ClinPharm PMx Skills</dc:creator>
  <cp:keywords>ClinPharm PMx Skills, pharmaceutical, professional context</cp:keywords>
  <dc:description>Generated from canonical Markdown.</dc:description>
  <cp:lastModifiedBy>ClinPharm PMx Skills</cp:lastModifiedBy>
  <cp:revision>1</cp:revision>
  <dcterms:created xsi:type="dcterms:W3CDTF">2026-07-30T00:00:00Z</dcterms:created>
  <dcterms:modified xsi:type="dcterms:W3CDTF">2026-07-30T00:00:00Z</dcterms:modified>
  <cp:category/>
</cp:coreProperties>
</file>