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F00A8" w14:textId="77777777" w:rsidR="001E05BD" w:rsidRPr="001E05BD" w:rsidRDefault="001E05BD" w:rsidP="001E05BD">
      <w:pPr>
        <w:spacing w:before="180" w:after="0" w:line="480" w:lineRule="auto"/>
        <w:jc w:val="center"/>
        <w:rPr>
          <w:rFonts w:ascii="Candara" w:eastAsia="Times New Roman" w:hAnsi="Candara" w:cs="Times New Roman"/>
          <w:color w:val="111111"/>
          <w:sz w:val="32"/>
          <w:szCs w:val="32"/>
        </w:rPr>
      </w:pPr>
      <w:bookmarkStart w:id="0" w:name="_GoBack"/>
      <w:bookmarkEnd w:id="0"/>
      <w:r w:rsidRPr="001E05BD">
        <w:rPr>
          <w:rFonts w:ascii="Candara" w:eastAsia="Times New Roman" w:hAnsi="Candara" w:cs="Times New Roman"/>
          <w:b/>
          <w:bCs/>
          <w:color w:val="111111"/>
          <w:sz w:val="32"/>
          <w:szCs w:val="32"/>
        </w:rPr>
        <w:t>Case Study: Smart Metering in the UK</w:t>
      </w:r>
    </w:p>
    <w:p w14:paraId="41491076" w14:textId="77777777" w:rsidR="001E05BD" w:rsidRPr="001E05BD" w:rsidRDefault="001E05BD" w:rsidP="001E05BD">
      <w:pPr>
        <w:spacing w:before="180" w:after="0" w:line="480" w:lineRule="auto"/>
        <w:rPr>
          <w:rFonts w:ascii="Candara" w:eastAsia="Times New Roman" w:hAnsi="Candara" w:cs="Times New Roman"/>
          <w:color w:val="111111"/>
          <w:sz w:val="28"/>
          <w:szCs w:val="28"/>
        </w:rPr>
      </w:pPr>
      <w:r w:rsidRPr="001E05BD">
        <w:rPr>
          <w:rFonts w:ascii="Candara" w:eastAsia="Times New Roman" w:hAnsi="Candara" w:cs="Times New Roman"/>
          <w:b/>
          <w:bCs/>
          <w:color w:val="111111"/>
          <w:sz w:val="28"/>
          <w:szCs w:val="28"/>
        </w:rPr>
        <w:t>Background:</w:t>
      </w:r>
      <w:r w:rsidRPr="001E05BD">
        <w:rPr>
          <w:rFonts w:ascii="Candara" w:eastAsia="Times New Roman" w:hAnsi="Candara" w:cs="Times New Roman"/>
          <w:color w:val="111111"/>
          <w:sz w:val="28"/>
          <w:szCs w:val="28"/>
        </w:rPr>
        <w:t> Smart meters are devices used to measure electricity and gas use. In the UK, the government has been rolling out smart meters as part of an initiative to modernize the energy system.</w:t>
      </w:r>
    </w:p>
    <w:p w14:paraId="2B095A22" w14:textId="77777777" w:rsidR="001E05BD" w:rsidRPr="001E05BD" w:rsidRDefault="001E05BD" w:rsidP="001E05BD">
      <w:pPr>
        <w:spacing w:before="180" w:after="0" w:line="480" w:lineRule="auto"/>
        <w:rPr>
          <w:rFonts w:ascii="Candara" w:eastAsia="Times New Roman" w:hAnsi="Candara" w:cs="Times New Roman"/>
          <w:color w:val="111111"/>
          <w:sz w:val="28"/>
          <w:szCs w:val="28"/>
        </w:rPr>
      </w:pPr>
      <w:r w:rsidRPr="001E05BD">
        <w:rPr>
          <w:rFonts w:ascii="Candara" w:eastAsia="Times New Roman" w:hAnsi="Candara" w:cs="Times New Roman"/>
          <w:b/>
          <w:bCs/>
          <w:color w:val="111111"/>
          <w:sz w:val="28"/>
          <w:szCs w:val="28"/>
        </w:rPr>
        <w:t>Data Management Aspects:</w:t>
      </w:r>
    </w:p>
    <w:p w14:paraId="20D386F9" w14:textId="77777777" w:rsidR="001E05BD" w:rsidRPr="001E05BD" w:rsidRDefault="001E05BD" w:rsidP="001E05BD">
      <w:pPr>
        <w:pStyle w:val="ListParagraph"/>
        <w:numPr>
          <w:ilvl w:val="0"/>
          <w:numId w:val="4"/>
        </w:numPr>
        <w:spacing w:before="100" w:beforeAutospacing="1" w:after="100" w:afterAutospacing="1" w:line="480" w:lineRule="auto"/>
        <w:rPr>
          <w:rFonts w:ascii="Candara" w:eastAsia="Times New Roman" w:hAnsi="Candara" w:cs="Times New Roman"/>
          <w:color w:val="111111"/>
          <w:sz w:val="28"/>
          <w:szCs w:val="28"/>
        </w:rPr>
      </w:pPr>
      <w:r w:rsidRPr="001E05BD">
        <w:rPr>
          <w:rFonts w:ascii="Candara" w:eastAsia="Times New Roman" w:hAnsi="Candara" w:cs="Times New Roman"/>
          <w:b/>
          <w:bCs/>
          <w:color w:val="111111"/>
          <w:sz w:val="28"/>
          <w:szCs w:val="28"/>
        </w:rPr>
        <w:t>Data Collection</w:t>
      </w:r>
      <w:r w:rsidRPr="001E05BD">
        <w:rPr>
          <w:rFonts w:ascii="Candara" w:eastAsia="Times New Roman" w:hAnsi="Candara" w:cs="Times New Roman"/>
          <w:color w:val="111111"/>
          <w:sz w:val="28"/>
          <w:szCs w:val="28"/>
        </w:rPr>
        <w:t>: Smart meters collect detailed information about energy consumption at short intervals.</w:t>
      </w:r>
    </w:p>
    <w:p w14:paraId="6DEDAFE8" w14:textId="77777777" w:rsidR="001E05BD" w:rsidRPr="001E05BD" w:rsidRDefault="001E05BD" w:rsidP="001E05BD">
      <w:pPr>
        <w:pStyle w:val="ListParagraph"/>
        <w:numPr>
          <w:ilvl w:val="0"/>
          <w:numId w:val="4"/>
        </w:numPr>
        <w:spacing w:before="100" w:beforeAutospacing="1" w:after="100" w:afterAutospacing="1" w:line="480" w:lineRule="auto"/>
        <w:rPr>
          <w:rFonts w:ascii="Candara" w:eastAsia="Times New Roman" w:hAnsi="Candara" w:cs="Times New Roman"/>
          <w:color w:val="111111"/>
          <w:sz w:val="28"/>
          <w:szCs w:val="28"/>
        </w:rPr>
      </w:pPr>
      <w:r w:rsidRPr="001E05BD">
        <w:rPr>
          <w:rFonts w:ascii="Candara" w:eastAsia="Times New Roman" w:hAnsi="Candara" w:cs="Times New Roman"/>
          <w:b/>
          <w:bCs/>
          <w:color w:val="111111"/>
          <w:sz w:val="28"/>
          <w:szCs w:val="28"/>
        </w:rPr>
        <w:t>Data Storage</w:t>
      </w:r>
      <w:r w:rsidRPr="001E05BD">
        <w:rPr>
          <w:rFonts w:ascii="Candara" w:eastAsia="Times New Roman" w:hAnsi="Candara" w:cs="Times New Roman"/>
          <w:color w:val="111111"/>
          <w:sz w:val="28"/>
          <w:szCs w:val="28"/>
        </w:rPr>
        <w:t>: The data is stored in a centralized system accessible by energy suppliers and network operators.</w:t>
      </w:r>
    </w:p>
    <w:p w14:paraId="528252FD" w14:textId="77777777" w:rsidR="001E05BD" w:rsidRPr="001E05BD" w:rsidRDefault="001E05BD" w:rsidP="001E05BD">
      <w:pPr>
        <w:pStyle w:val="ListParagraph"/>
        <w:numPr>
          <w:ilvl w:val="0"/>
          <w:numId w:val="4"/>
        </w:numPr>
        <w:spacing w:before="100" w:beforeAutospacing="1" w:after="100" w:afterAutospacing="1" w:line="480" w:lineRule="auto"/>
        <w:rPr>
          <w:rFonts w:ascii="Candara" w:eastAsia="Times New Roman" w:hAnsi="Candara" w:cs="Times New Roman"/>
          <w:color w:val="111111"/>
          <w:sz w:val="28"/>
          <w:szCs w:val="28"/>
        </w:rPr>
      </w:pPr>
      <w:r w:rsidRPr="001E05BD">
        <w:rPr>
          <w:rFonts w:ascii="Candara" w:eastAsia="Times New Roman" w:hAnsi="Candara" w:cs="Times New Roman"/>
          <w:b/>
          <w:bCs/>
          <w:color w:val="111111"/>
          <w:sz w:val="28"/>
          <w:szCs w:val="28"/>
        </w:rPr>
        <w:t>Data Processing</w:t>
      </w:r>
      <w:r w:rsidRPr="001E05BD">
        <w:rPr>
          <w:rFonts w:ascii="Candara" w:eastAsia="Times New Roman" w:hAnsi="Candara" w:cs="Times New Roman"/>
          <w:color w:val="111111"/>
          <w:sz w:val="28"/>
          <w:szCs w:val="28"/>
        </w:rPr>
        <w:t>: Algorithms process the data to provide insights into energy usage patterns and efficiency opportunities.</w:t>
      </w:r>
    </w:p>
    <w:p w14:paraId="6CB6898D" w14:textId="77777777" w:rsidR="001E05BD" w:rsidRPr="001E05BD" w:rsidRDefault="001E05BD" w:rsidP="001E05BD">
      <w:pPr>
        <w:spacing w:before="180" w:after="0" w:line="480" w:lineRule="auto"/>
        <w:rPr>
          <w:rFonts w:ascii="Candara" w:eastAsia="Times New Roman" w:hAnsi="Candara" w:cs="Times New Roman"/>
          <w:color w:val="111111"/>
          <w:sz w:val="28"/>
          <w:szCs w:val="28"/>
        </w:rPr>
      </w:pPr>
      <w:r w:rsidRPr="001E05BD">
        <w:rPr>
          <w:rFonts w:ascii="Candara" w:eastAsia="Times New Roman" w:hAnsi="Candara" w:cs="Times New Roman"/>
          <w:b/>
          <w:bCs/>
          <w:color w:val="111111"/>
          <w:sz w:val="28"/>
          <w:szCs w:val="28"/>
        </w:rPr>
        <w:t>Data Governance Aspects:</w:t>
      </w:r>
    </w:p>
    <w:p w14:paraId="31C7D7AA" w14:textId="77777777" w:rsidR="001E05BD" w:rsidRPr="001E05BD" w:rsidRDefault="001E05BD" w:rsidP="001E05BD">
      <w:pPr>
        <w:pStyle w:val="ListParagraph"/>
        <w:numPr>
          <w:ilvl w:val="0"/>
          <w:numId w:val="5"/>
        </w:numPr>
        <w:spacing w:before="100" w:beforeAutospacing="1" w:after="100" w:afterAutospacing="1" w:line="480" w:lineRule="auto"/>
        <w:rPr>
          <w:rFonts w:ascii="Candara" w:eastAsia="Times New Roman" w:hAnsi="Candara" w:cs="Times New Roman"/>
          <w:color w:val="111111"/>
          <w:sz w:val="28"/>
          <w:szCs w:val="28"/>
        </w:rPr>
      </w:pPr>
      <w:r w:rsidRPr="001E05BD">
        <w:rPr>
          <w:rFonts w:ascii="Candara" w:eastAsia="Times New Roman" w:hAnsi="Candara" w:cs="Times New Roman"/>
          <w:b/>
          <w:bCs/>
          <w:color w:val="111111"/>
          <w:sz w:val="28"/>
          <w:szCs w:val="28"/>
        </w:rPr>
        <w:t>Data Ownership</w:t>
      </w:r>
      <w:r w:rsidRPr="001E05BD">
        <w:rPr>
          <w:rFonts w:ascii="Candara" w:eastAsia="Times New Roman" w:hAnsi="Candara" w:cs="Times New Roman"/>
          <w:color w:val="111111"/>
          <w:sz w:val="28"/>
          <w:szCs w:val="28"/>
        </w:rPr>
        <w:t>: Clear policies define who owns the data (consumers, energy suppliers, or network operators).</w:t>
      </w:r>
    </w:p>
    <w:p w14:paraId="5AA96EE5" w14:textId="77777777" w:rsidR="001E05BD" w:rsidRPr="001E05BD" w:rsidRDefault="001E05BD" w:rsidP="001E05BD">
      <w:pPr>
        <w:pStyle w:val="ListParagraph"/>
        <w:numPr>
          <w:ilvl w:val="0"/>
          <w:numId w:val="5"/>
        </w:numPr>
        <w:spacing w:before="100" w:beforeAutospacing="1" w:after="100" w:afterAutospacing="1" w:line="480" w:lineRule="auto"/>
        <w:rPr>
          <w:rFonts w:ascii="Candara" w:eastAsia="Times New Roman" w:hAnsi="Candara" w:cs="Times New Roman"/>
          <w:color w:val="111111"/>
          <w:sz w:val="28"/>
          <w:szCs w:val="28"/>
        </w:rPr>
      </w:pPr>
      <w:r w:rsidRPr="001E05BD">
        <w:rPr>
          <w:rFonts w:ascii="Candara" w:eastAsia="Times New Roman" w:hAnsi="Candara" w:cs="Times New Roman"/>
          <w:b/>
          <w:bCs/>
          <w:color w:val="111111"/>
          <w:sz w:val="28"/>
          <w:szCs w:val="28"/>
        </w:rPr>
        <w:t>Data Stewardship</w:t>
      </w:r>
      <w:r w:rsidRPr="001E05BD">
        <w:rPr>
          <w:rFonts w:ascii="Candara" w:eastAsia="Times New Roman" w:hAnsi="Candara" w:cs="Times New Roman"/>
          <w:color w:val="111111"/>
          <w:sz w:val="28"/>
          <w:szCs w:val="28"/>
        </w:rPr>
        <w:t>: Roles are established for managing the quality and security of data.</w:t>
      </w:r>
    </w:p>
    <w:p w14:paraId="311034BD" w14:textId="77777777" w:rsidR="001E05BD" w:rsidRPr="001E05BD" w:rsidRDefault="001E05BD" w:rsidP="001E05BD">
      <w:pPr>
        <w:pStyle w:val="ListParagraph"/>
        <w:numPr>
          <w:ilvl w:val="0"/>
          <w:numId w:val="5"/>
        </w:numPr>
        <w:spacing w:before="100" w:beforeAutospacing="1" w:after="100" w:afterAutospacing="1" w:line="480" w:lineRule="auto"/>
        <w:rPr>
          <w:rFonts w:ascii="Candara" w:eastAsia="Times New Roman" w:hAnsi="Candara" w:cs="Times New Roman"/>
          <w:color w:val="111111"/>
          <w:sz w:val="28"/>
          <w:szCs w:val="28"/>
        </w:rPr>
      </w:pPr>
      <w:r w:rsidRPr="001E05BD">
        <w:rPr>
          <w:rFonts w:ascii="Candara" w:eastAsia="Times New Roman" w:hAnsi="Candara" w:cs="Times New Roman"/>
          <w:b/>
          <w:bCs/>
          <w:color w:val="111111"/>
          <w:sz w:val="28"/>
          <w:szCs w:val="28"/>
        </w:rPr>
        <w:t>Data Privacy</w:t>
      </w:r>
      <w:r w:rsidRPr="001E05BD">
        <w:rPr>
          <w:rFonts w:ascii="Candara" w:eastAsia="Times New Roman" w:hAnsi="Candara" w:cs="Times New Roman"/>
          <w:color w:val="111111"/>
          <w:sz w:val="28"/>
          <w:szCs w:val="28"/>
        </w:rPr>
        <w:t>: Regulations ensure that consumer data is protected and used ethically, complying with laws such as GDPR.</w:t>
      </w:r>
    </w:p>
    <w:p w14:paraId="55C3FF90" w14:textId="77777777" w:rsidR="001E05BD" w:rsidRPr="001E05BD" w:rsidRDefault="001E05BD" w:rsidP="001E05BD">
      <w:pPr>
        <w:spacing w:before="180" w:after="0" w:line="480" w:lineRule="auto"/>
        <w:rPr>
          <w:rFonts w:ascii="Candara" w:eastAsia="Times New Roman" w:hAnsi="Candara" w:cs="Times New Roman"/>
          <w:color w:val="111111"/>
          <w:sz w:val="28"/>
          <w:szCs w:val="28"/>
        </w:rPr>
      </w:pPr>
      <w:r w:rsidRPr="001E05BD">
        <w:rPr>
          <w:rFonts w:ascii="Candara" w:eastAsia="Times New Roman" w:hAnsi="Candara" w:cs="Times New Roman"/>
          <w:b/>
          <w:bCs/>
          <w:color w:val="111111"/>
          <w:sz w:val="28"/>
          <w:szCs w:val="28"/>
        </w:rPr>
        <w:lastRenderedPageBreak/>
        <w:t>The Difference:</w:t>
      </w:r>
    </w:p>
    <w:p w14:paraId="5B302D66" w14:textId="77777777" w:rsidR="001E05BD" w:rsidRPr="001E05BD" w:rsidRDefault="001E05BD" w:rsidP="001E05BD">
      <w:pPr>
        <w:pStyle w:val="ListParagraph"/>
        <w:numPr>
          <w:ilvl w:val="0"/>
          <w:numId w:val="6"/>
        </w:numPr>
        <w:spacing w:before="100" w:beforeAutospacing="1" w:after="100" w:afterAutospacing="1" w:line="480" w:lineRule="auto"/>
        <w:rPr>
          <w:rFonts w:ascii="Candara" w:eastAsia="Times New Roman" w:hAnsi="Candara" w:cs="Times New Roman"/>
          <w:color w:val="111111"/>
          <w:sz w:val="28"/>
          <w:szCs w:val="28"/>
        </w:rPr>
      </w:pPr>
      <w:r w:rsidRPr="001E05BD">
        <w:rPr>
          <w:rFonts w:ascii="Candara" w:eastAsia="Times New Roman" w:hAnsi="Candara" w:cs="Times New Roman"/>
          <w:b/>
          <w:bCs/>
          <w:color w:val="111111"/>
          <w:sz w:val="28"/>
          <w:szCs w:val="28"/>
        </w:rPr>
        <w:t>Data Management</w:t>
      </w:r>
      <w:r w:rsidRPr="001E05BD">
        <w:rPr>
          <w:rFonts w:ascii="Candara" w:eastAsia="Times New Roman" w:hAnsi="Candara" w:cs="Times New Roman"/>
          <w:color w:val="111111"/>
          <w:sz w:val="28"/>
          <w:szCs w:val="28"/>
        </w:rPr>
        <w:t> focuses on the technical aspects of handling data, ensuring it is accurately and efficiently collected, stored, and processed.</w:t>
      </w:r>
    </w:p>
    <w:p w14:paraId="624A8615" w14:textId="77777777" w:rsidR="001E05BD" w:rsidRPr="001E05BD" w:rsidRDefault="001E05BD" w:rsidP="001E05BD">
      <w:pPr>
        <w:pStyle w:val="ListParagraph"/>
        <w:numPr>
          <w:ilvl w:val="0"/>
          <w:numId w:val="6"/>
        </w:numPr>
        <w:spacing w:before="100" w:beforeAutospacing="1" w:after="100" w:afterAutospacing="1" w:line="480" w:lineRule="auto"/>
        <w:rPr>
          <w:rFonts w:ascii="Candara" w:eastAsia="Times New Roman" w:hAnsi="Candara" w:cs="Times New Roman"/>
          <w:color w:val="111111"/>
          <w:sz w:val="28"/>
          <w:szCs w:val="28"/>
        </w:rPr>
      </w:pPr>
      <w:r w:rsidRPr="001E05BD">
        <w:rPr>
          <w:rFonts w:ascii="Candara" w:eastAsia="Times New Roman" w:hAnsi="Candara" w:cs="Times New Roman"/>
          <w:b/>
          <w:bCs/>
          <w:color w:val="111111"/>
          <w:sz w:val="28"/>
          <w:szCs w:val="28"/>
        </w:rPr>
        <w:t>Data Governance</w:t>
      </w:r>
      <w:r w:rsidRPr="001E05BD">
        <w:rPr>
          <w:rFonts w:ascii="Candara" w:eastAsia="Times New Roman" w:hAnsi="Candara" w:cs="Times New Roman"/>
          <w:color w:val="111111"/>
          <w:sz w:val="28"/>
          <w:szCs w:val="28"/>
        </w:rPr>
        <w:t> deals with the overarching framework that governs data usage, ensuring compliance with regulations, ethical use of data, and protection of data rights.</w:t>
      </w:r>
    </w:p>
    <w:p w14:paraId="6006C046" w14:textId="77777777" w:rsidR="001E05BD" w:rsidRPr="001E05BD" w:rsidRDefault="001E05BD" w:rsidP="001E05BD">
      <w:pPr>
        <w:spacing w:before="180" w:after="0" w:line="480" w:lineRule="auto"/>
        <w:rPr>
          <w:rFonts w:ascii="Candara" w:eastAsia="Times New Roman" w:hAnsi="Candara" w:cs="Times New Roman"/>
          <w:color w:val="111111"/>
          <w:sz w:val="28"/>
          <w:szCs w:val="28"/>
        </w:rPr>
      </w:pPr>
      <w:r w:rsidRPr="001E05BD">
        <w:rPr>
          <w:rFonts w:ascii="Candara" w:eastAsia="Times New Roman" w:hAnsi="Candara" w:cs="Times New Roman"/>
          <w:b/>
          <w:bCs/>
          <w:color w:val="111111"/>
          <w:sz w:val="28"/>
          <w:szCs w:val="28"/>
        </w:rPr>
        <w:t>Outcome:</w:t>
      </w:r>
      <w:r w:rsidRPr="001E05BD">
        <w:rPr>
          <w:rFonts w:ascii="Candara" w:eastAsia="Times New Roman" w:hAnsi="Candara" w:cs="Times New Roman"/>
          <w:color w:val="111111"/>
          <w:sz w:val="28"/>
          <w:szCs w:val="28"/>
        </w:rPr>
        <w:t> The smart metering case in the UK illustrates how data management ensures the operational effectiveness of data handling, while data governance provides the strategic oversight to align data practices with legal, ethical, and business objectives.</w:t>
      </w:r>
    </w:p>
    <w:p w14:paraId="60465F48" w14:textId="77777777" w:rsidR="001E05BD" w:rsidRDefault="001E05BD" w:rsidP="001E05BD">
      <w:pPr>
        <w:spacing w:after="0" w:line="480" w:lineRule="auto"/>
        <w:rPr>
          <w:rFonts w:ascii="Candara" w:eastAsia="Times New Roman" w:hAnsi="Candara" w:cs="Times New Roman"/>
          <w:color w:val="111111"/>
          <w:sz w:val="28"/>
          <w:szCs w:val="28"/>
        </w:rPr>
      </w:pPr>
      <w:r w:rsidRPr="001E05BD">
        <w:rPr>
          <w:rFonts w:ascii="Candara" w:eastAsia="Times New Roman" w:hAnsi="Candara" w:cs="Times New Roman"/>
          <w:color w:val="111111"/>
          <w:sz w:val="28"/>
          <w:szCs w:val="28"/>
        </w:rPr>
        <w:t>This case study can help students understand the practical implications of data management and governance, and the importance of both in ensuring responsible and efficient use of data. </w:t>
      </w:r>
    </w:p>
    <w:p w14:paraId="661BDFBB" w14:textId="77777777" w:rsidR="001E05BD" w:rsidRDefault="001E05BD" w:rsidP="001E05BD">
      <w:pPr>
        <w:spacing w:after="0" w:line="480" w:lineRule="auto"/>
        <w:rPr>
          <w:rFonts w:ascii="Candara" w:eastAsia="Times New Roman" w:hAnsi="Candara" w:cs="Times New Roman"/>
          <w:color w:val="111111"/>
          <w:sz w:val="28"/>
          <w:szCs w:val="28"/>
        </w:rPr>
      </w:pPr>
    </w:p>
    <w:p w14:paraId="2E686C26" w14:textId="77777777" w:rsidR="001E05BD" w:rsidRDefault="001E05BD" w:rsidP="001E05BD">
      <w:pPr>
        <w:spacing w:after="0" w:line="480" w:lineRule="auto"/>
        <w:rPr>
          <w:rFonts w:ascii="Candara" w:eastAsia="Times New Roman" w:hAnsi="Candara" w:cs="Times New Roman"/>
          <w:color w:val="111111"/>
          <w:sz w:val="28"/>
          <w:szCs w:val="28"/>
        </w:rPr>
      </w:pPr>
    </w:p>
    <w:p w14:paraId="564799A9" w14:textId="77777777" w:rsidR="001E05BD" w:rsidRDefault="001E05BD" w:rsidP="001E05BD">
      <w:pPr>
        <w:spacing w:after="0" w:line="480" w:lineRule="auto"/>
        <w:rPr>
          <w:rFonts w:ascii="Candara" w:eastAsia="Times New Roman" w:hAnsi="Candara" w:cs="Times New Roman"/>
          <w:color w:val="111111"/>
          <w:sz w:val="28"/>
          <w:szCs w:val="28"/>
        </w:rPr>
      </w:pPr>
      <w:r>
        <w:rPr>
          <w:rFonts w:ascii="Candara" w:eastAsia="Times New Roman" w:hAnsi="Candara" w:cs="Times New Roman"/>
          <w:color w:val="111111"/>
          <w:sz w:val="28"/>
          <w:szCs w:val="28"/>
        </w:rPr>
        <w:t>For more details:</w:t>
      </w:r>
    </w:p>
    <w:p w14:paraId="2C49B2D6" w14:textId="3F4FE9B0" w:rsidR="002525EB" w:rsidRDefault="00F36F9B" w:rsidP="001E05BD">
      <w:pPr>
        <w:spacing w:line="480" w:lineRule="auto"/>
        <w:rPr>
          <w:rFonts w:ascii="Candara" w:hAnsi="Candara"/>
          <w:sz w:val="28"/>
          <w:szCs w:val="28"/>
        </w:rPr>
      </w:pPr>
      <w:hyperlink r:id="rId5" w:history="1">
        <w:r w:rsidR="001E05BD" w:rsidRPr="00297BA7">
          <w:rPr>
            <w:rStyle w:val="Hyperlink"/>
            <w:rFonts w:ascii="Candara" w:hAnsi="Candara"/>
            <w:sz w:val="28"/>
            <w:szCs w:val="28"/>
          </w:rPr>
          <w:t>https://royalsociety.org/-/media/policy/projects/data-governance/data-governance-case-studies.pdf</w:t>
        </w:r>
      </w:hyperlink>
    </w:p>
    <w:p w14:paraId="3EE56891" w14:textId="77777777" w:rsidR="001E05BD" w:rsidRPr="001E05BD" w:rsidRDefault="001E05BD" w:rsidP="001E05BD">
      <w:pPr>
        <w:spacing w:line="480" w:lineRule="auto"/>
        <w:rPr>
          <w:rFonts w:ascii="Candara" w:hAnsi="Candara"/>
          <w:sz w:val="28"/>
          <w:szCs w:val="28"/>
        </w:rPr>
      </w:pPr>
    </w:p>
    <w:sectPr w:rsidR="001E05BD" w:rsidRPr="001E05BD" w:rsidSect="001E05BD">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65AE8"/>
    <w:multiLevelType w:val="hybridMultilevel"/>
    <w:tmpl w:val="7650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21A6F"/>
    <w:multiLevelType w:val="multilevel"/>
    <w:tmpl w:val="6F8E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E000E"/>
    <w:multiLevelType w:val="hybridMultilevel"/>
    <w:tmpl w:val="B3D4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16E01"/>
    <w:multiLevelType w:val="multilevel"/>
    <w:tmpl w:val="EEA862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4E5A1CD0"/>
    <w:multiLevelType w:val="multilevel"/>
    <w:tmpl w:val="3A06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E3A48"/>
    <w:multiLevelType w:val="hybridMultilevel"/>
    <w:tmpl w:val="121E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c0MDY0MzQ0AjIMzJR0lIJTi4sz8/NACoxqARnsDmEsAAAA"/>
  </w:docVars>
  <w:rsids>
    <w:rsidRoot w:val="005E21EA"/>
    <w:rsid w:val="001E05BD"/>
    <w:rsid w:val="002525EB"/>
    <w:rsid w:val="005E21EA"/>
    <w:rsid w:val="00E867C9"/>
    <w:rsid w:val="00F36F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2AA7"/>
  <w15:chartTrackingRefBased/>
  <w15:docId w15:val="{15CBFB21-F83D-42E8-B18A-6826299B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5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05BD"/>
    <w:rPr>
      <w:b/>
      <w:bCs/>
    </w:rPr>
  </w:style>
  <w:style w:type="character" w:styleId="Hyperlink">
    <w:name w:val="Hyperlink"/>
    <w:basedOn w:val="DefaultParagraphFont"/>
    <w:uiPriority w:val="99"/>
    <w:unhideWhenUsed/>
    <w:rsid w:val="001E05BD"/>
    <w:rPr>
      <w:color w:val="0000FF"/>
      <w:u w:val="single"/>
    </w:rPr>
  </w:style>
  <w:style w:type="character" w:styleId="UnresolvedMention">
    <w:name w:val="Unresolved Mention"/>
    <w:basedOn w:val="DefaultParagraphFont"/>
    <w:uiPriority w:val="99"/>
    <w:semiHidden/>
    <w:unhideWhenUsed/>
    <w:rsid w:val="001E05BD"/>
    <w:rPr>
      <w:color w:val="605E5C"/>
      <w:shd w:val="clear" w:color="auto" w:fill="E1DFDD"/>
    </w:rPr>
  </w:style>
  <w:style w:type="paragraph" w:styleId="ListParagraph">
    <w:name w:val="List Paragraph"/>
    <w:basedOn w:val="Normal"/>
    <w:uiPriority w:val="34"/>
    <w:qFormat/>
    <w:rsid w:val="001E0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39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oyalsociety.org/-/media/policy/projects/data-governance/data-governance-case-studi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Mamdouh Alenezi</dc:creator>
  <cp:keywords/>
  <dc:description/>
  <cp:lastModifiedBy>Prof. Mamdouh Alenezi</cp:lastModifiedBy>
  <cp:revision>3</cp:revision>
  <cp:lastPrinted>2024-04-18T08:41:00Z</cp:lastPrinted>
  <dcterms:created xsi:type="dcterms:W3CDTF">2024-04-18T08:39:00Z</dcterms:created>
  <dcterms:modified xsi:type="dcterms:W3CDTF">2024-04-18T08:43:00Z</dcterms:modified>
</cp:coreProperties>
</file>