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Management Procedure</w:t>
      </w:r>
    </w:p>
    <w:p>
      <w:pPr>
        <w:pStyle w:val="Heading2"/>
      </w:pPr>
      <w:r>
        <w:t>1. Purpose</w:t>
      </w:r>
    </w:p>
    <w:p>
      <w:r>
        <w:t>This procedure governs change classes, CAB thresholds, and emergency changes at National Digital Services Authority.</w:t>
      </w:r>
    </w:p>
    <w:p>
      <w:r>
        <w:t>Procedure reference NDSA-IT-308, revision 2.0, effective 2024-07-01.</w:t>
      </w:r>
    </w:p>
    <w:p>
      <w:pPr>
        <w:pStyle w:val="Heading2"/>
      </w:pPr>
      <w:r>
        <w:t>2. Regulatory basis</w:t>
      </w:r>
    </w:p>
    <w:p>
      <w:r>
        <w:t>This procedure operationalises the Data Classification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12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12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