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Deletion Request Handling Procedure</w:t>
      </w:r>
    </w:p>
    <w:p>
      <w:pPr>
        <w:pStyle w:val="Heading2"/>
      </w:pPr>
      <w:r>
        <w:t>1. Purpose</w:t>
      </w:r>
    </w:p>
    <w:p>
      <w:r>
        <w:t>This procedure governs intake, verification, execution window, and evidence of destruction at National Digital Services Authority.</w:t>
      </w:r>
    </w:p>
    <w:p>
      <w:r>
        <w:t>Procedure reference NDSA-IT-320, revision 2.0, effective 2025-03-10.</w:t>
      </w:r>
    </w:p>
    <w:p>
      <w:pPr>
        <w:pStyle w:val="Heading2"/>
      </w:pPr>
      <w:r>
        <w:t>2. Regulatory basis</w:t>
      </w:r>
    </w:p>
    <w:p>
      <w:r>
        <w:t>This procedure operationalises the Data Sharing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12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12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Deletion Request Handling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